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C2" w:rsidRPr="00CB20EB" w:rsidRDefault="00445B33" w:rsidP="00C77FAB">
      <w:pPr>
        <w:spacing w:after="0" w:line="240" w:lineRule="auto"/>
        <w:rPr>
          <w:rFonts w:ascii="Arial" w:hAnsi="Arial" w:cs="Arial"/>
          <w:b/>
          <w:sz w:val="24"/>
          <w:szCs w:val="24"/>
          <w:u w:val="single"/>
        </w:rPr>
      </w:pPr>
      <w:bookmarkStart w:id="0" w:name="_GoBack"/>
      <w:bookmarkEnd w:id="0"/>
      <w:r w:rsidRPr="00CB20EB">
        <w:rPr>
          <w:rFonts w:ascii="Arial" w:hAnsi="Arial" w:cs="Arial"/>
          <w:b/>
          <w:bCs/>
          <w:noProof/>
          <w:sz w:val="24"/>
          <w:szCs w:val="24"/>
          <w:lang w:eastAsia="en-GB"/>
        </w:rPr>
        <w:drawing>
          <wp:anchor distT="57150" distB="57150" distL="57150" distR="57150" simplePos="0" relativeHeight="251659264" behindDoc="0" locked="0" layoutInCell="1" allowOverlap="1" wp14:anchorId="12124078" wp14:editId="614003AC">
            <wp:simplePos x="0" y="0"/>
            <wp:positionH relativeFrom="column">
              <wp:posOffset>3997325</wp:posOffset>
            </wp:positionH>
            <wp:positionV relativeFrom="line">
              <wp:posOffset>-344805</wp:posOffset>
            </wp:positionV>
            <wp:extent cx="2533650" cy="733425"/>
            <wp:effectExtent l="0" t="0" r="0" b="9525"/>
            <wp:wrapSquare wrapText="bothSides"/>
            <wp:docPr id="1073741825" name="officeArt object" descr="L:\Marketing\03 IMAGES\Logos\NHC Logos\New Brand\New NHCLogo.JPG"/>
            <wp:cNvGraphicFramePr/>
            <a:graphic xmlns:a="http://schemas.openxmlformats.org/drawingml/2006/main">
              <a:graphicData uri="http://schemas.openxmlformats.org/drawingml/2006/picture">
                <pic:pic xmlns:pic="http://schemas.openxmlformats.org/drawingml/2006/picture">
                  <pic:nvPicPr>
                    <pic:cNvPr id="1073741825" name="image1.jpeg" descr="L:\Marketing\03 IMAGES\Logos\NHC Logos\New Brand\New NHCLogo.JPG"/>
                    <pic:cNvPicPr/>
                  </pic:nvPicPr>
                  <pic:blipFill>
                    <a:blip r:embed="rId8" cstate="print">
                      <a:extLst/>
                    </a:blip>
                    <a:stretch>
                      <a:fillRect/>
                    </a:stretch>
                  </pic:blipFill>
                  <pic:spPr>
                    <a:xfrm>
                      <a:off x="0" y="0"/>
                      <a:ext cx="2533650" cy="733425"/>
                    </a:xfrm>
                    <a:prstGeom prst="rect">
                      <a:avLst/>
                    </a:prstGeom>
                    <a:ln w="12700" cap="flat">
                      <a:noFill/>
                      <a:miter lim="400000"/>
                    </a:ln>
                    <a:effectLst/>
                  </pic:spPr>
                </pic:pic>
              </a:graphicData>
            </a:graphic>
          </wp:anchor>
        </w:drawing>
      </w:r>
    </w:p>
    <w:p w:rsidR="00445B33" w:rsidRPr="00CB20EB" w:rsidRDefault="00445B33" w:rsidP="00C77FAB">
      <w:pPr>
        <w:spacing w:after="0" w:line="240" w:lineRule="auto"/>
        <w:rPr>
          <w:rFonts w:ascii="Arial" w:hAnsi="Arial" w:cs="Arial"/>
          <w:b/>
          <w:sz w:val="24"/>
          <w:szCs w:val="24"/>
        </w:rPr>
      </w:pPr>
    </w:p>
    <w:p w:rsidR="00502743" w:rsidRDefault="00502743" w:rsidP="00C77FAB">
      <w:pPr>
        <w:spacing w:after="0" w:line="240" w:lineRule="auto"/>
        <w:rPr>
          <w:rFonts w:ascii="Arial" w:hAnsi="Arial" w:cs="Arial"/>
          <w:b/>
          <w:sz w:val="24"/>
          <w:szCs w:val="24"/>
        </w:rPr>
      </w:pPr>
      <w:r>
        <w:rPr>
          <w:rFonts w:ascii="Arial" w:hAnsi="Arial" w:cs="Arial"/>
          <w:b/>
          <w:sz w:val="24"/>
          <w:szCs w:val="24"/>
        </w:rPr>
        <w:t>Homes and Communities Agency</w:t>
      </w:r>
    </w:p>
    <w:p w:rsidR="00820E31" w:rsidRDefault="00820E31" w:rsidP="00C77FAB">
      <w:pPr>
        <w:spacing w:after="0" w:line="240" w:lineRule="auto"/>
        <w:rPr>
          <w:rFonts w:ascii="Arial" w:hAnsi="Arial" w:cs="Arial"/>
          <w:b/>
          <w:sz w:val="24"/>
          <w:szCs w:val="24"/>
        </w:rPr>
      </w:pPr>
    </w:p>
    <w:p w:rsidR="00445B33" w:rsidRPr="00CB20EB" w:rsidRDefault="00445B33" w:rsidP="00C77FAB">
      <w:pPr>
        <w:spacing w:after="0" w:line="240" w:lineRule="auto"/>
        <w:rPr>
          <w:rFonts w:ascii="Arial" w:hAnsi="Arial" w:cs="Arial"/>
          <w:b/>
          <w:sz w:val="24"/>
          <w:szCs w:val="24"/>
        </w:rPr>
      </w:pPr>
      <w:r w:rsidRPr="00CB20EB">
        <w:rPr>
          <w:rFonts w:ascii="Arial" w:hAnsi="Arial" w:cs="Arial"/>
          <w:b/>
          <w:sz w:val="24"/>
          <w:szCs w:val="24"/>
        </w:rPr>
        <w:t>Consultation on the Value for Money Standard</w:t>
      </w:r>
    </w:p>
    <w:p w:rsidR="00C77FAB" w:rsidRDefault="00C77FAB" w:rsidP="00C77FAB">
      <w:pPr>
        <w:spacing w:after="0" w:line="240" w:lineRule="auto"/>
        <w:rPr>
          <w:rFonts w:ascii="Arial" w:eastAsia="MS Mincho" w:hAnsi="Arial" w:cs="Arial"/>
          <w:sz w:val="24"/>
          <w:szCs w:val="24"/>
          <w:u w:val="single"/>
        </w:rPr>
      </w:pPr>
    </w:p>
    <w:p w:rsidR="00445B33" w:rsidRPr="00CB20EB" w:rsidRDefault="00445B33" w:rsidP="00C77FAB">
      <w:pPr>
        <w:spacing w:after="0" w:line="240" w:lineRule="auto"/>
        <w:rPr>
          <w:rFonts w:ascii="Arial" w:eastAsia="MS Mincho" w:hAnsi="Arial" w:cs="Arial"/>
          <w:sz w:val="24"/>
          <w:szCs w:val="24"/>
          <w:u w:val="single"/>
        </w:rPr>
      </w:pPr>
      <w:r w:rsidRPr="00CB20EB">
        <w:rPr>
          <w:rFonts w:ascii="Arial" w:eastAsia="MS Mincho" w:hAnsi="Arial" w:cs="Arial"/>
          <w:sz w:val="24"/>
          <w:szCs w:val="24"/>
          <w:u w:val="single"/>
        </w:rPr>
        <w:t>About us</w:t>
      </w:r>
    </w:p>
    <w:p w:rsidR="00445B33" w:rsidRPr="00CB20EB" w:rsidRDefault="00445B33" w:rsidP="00C77FAB">
      <w:pPr>
        <w:spacing w:after="0" w:line="240" w:lineRule="auto"/>
        <w:rPr>
          <w:rFonts w:ascii="Arial" w:eastAsia="MS Mincho" w:hAnsi="Arial" w:cs="Arial"/>
          <w:sz w:val="24"/>
          <w:szCs w:val="24"/>
        </w:rPr>
      </w:pPr>
    </w:p>
    <w:p w:rsidR="00445B33" w:rsidRPr="00CB20EB" w:rsidRDefault="00445B33" w:rsidP="00C77FAB">
      <w:pPr>
        <w:spacing w:after="0" w:line="240" w:lineRule="auto"/>
        <w:rPr>
          <w:rFonts w:ascii="Arial" w:hAnsi="Arial" w:cs="Arial"/>
          <w:sz w:val="24"/>
          <w:szCs w:val="24"/>
        </w:rPr>
      </w:pPr>
      <w:r w:rsidRPr="00CB20EB">
        <w:rPr>
          <w:rFonts w:ascii="Arial" w:eastAsia="MS Mincho" w:hAnsi="Arial" w:cs="Arial"/>
          <w:sz w:val="24"/>
          <w:szCs w:val="24"/>
        </w:rPr>
        <w:t>The Northern Housing Consortium (NHC) is a membership organisation based in the North of England that works with local authorities and housing associations to advance the cause of housing.  Our membership covers around 90% of all housing providers in the North.  The N</w:t>
      </w:r>
      <w:r w:rsidRPr="00CB20EB">
        <w:rPr>
          <w:rFonts w:ascii="Arial" w:hAnsi="Arial" w:cs="Arial"/>
          <w:sz w:val="24"/>
          <w:szCs w:val="24"/>
          <w:shd w:val="clear" w:color="auto" w:fill="FFFFFF"/>
        </w:rPr>
        <w:t xml:space="preserve">HC brings its members together to share ideas, and to promote their interests and to ensure their voice is heard at a regional and national government level.  </w:t>
      </w:r>
    </w:p>
    <w:p w:rsidR="00445B33" w:rsidRPr="00CB20EB" w:rsidRDefault="00445B33" w:rsidP="00C77FAB">
      <w:pPr>
        <w:spacing w:after="0" w:line="240" w:lineRule="auto"/>
        <w:rPr>
          <w:rFonts w:ascii="Arial" w:hAnsi="Arial" w:cs="Arial"/>
          <w:color w:val="0B0C0C"/>
          <w:sz w:val="24"/>
          <w:szCs w:val="24"/>
          <w:shd w:val="clear" w:color="auto" w:fill="FFFFFF"/>
        </w:rPr>
      </w:pPr>
    </w:p>
    <w:p w:rsidR="00445B33" w:rsidRPr="00CB20EB" w:rsidRDefault="00445B33" w:rsidP="00C77FAB">
      <w:pPr>
        <w:spacing w:after="0" w:line="240" w:lineRule="auto"/>
        <w:rPr>
          <w:rFonts w:ascii="Arial" w:eastAsia="MS Mincho" w:hAnsi="Arial" w:cs="Arial"/>
          <w:sz w:val="24"/>
          <w:szCs w:val="24"/>
        </w:rPr>
      </w:pPr>
      <w:r w:rsidRPr="00CB20EB">
        <w:rPr>
          <w:rFonts w:ascii="Arial" w:hAnsi="Arial" w:cs="Arial"/>
          <w:sz w:val="24"/>
          <w:szCs w:val="24"/>
        </w:rPr>
        <w:t>We welcome the opportunity to respond to this consultation</w:t>
      </w:r>
      <w:r w:rsidRPr="00CB20EB">
        <w:rPr>
          <w:rFonts w:ascii="Arial" w:eastAsia="MS Mincho" w:hAnsi="Arial" w:cs="Arial"/>
          <w:sz w:val="24"/>
          <w:szCs w:val="24"/>
        </w:rPr>
        <w:t>.</w:t>
      </w:r>
    </w:p>
    <w:p w:rsidR="00445B33" w:rsidRPr="00CB20EB" w:rsidRDefault="00445B33" w:rsidP="00C77FAB">
      <w:pPr>
        <w:spacing w:after="0" w:line="240" w:lineRule="auto"/>
        <w:rPr>
          <w:rFonts w:ascii="Arial" w:hAnsi="Arial" w:cs="Arial"/>
          <w:b/>
          <w:sz w:val="24"/>
          <w:szCs w:val="24"/>
          <w:u w:val="single"/>
        </w:rPr>
      </w:pPr>
    </w:p>
    <w:p w:rsidR="000215F6" w:rsidRPr="00820E31" w:rsidRDefault="006F5F8C" w:rsidP="00C77FAB">
      <w:pPr>
        <w:spacing w:after="0" w:line="240" w:lineRule="auto"/>
        <w:rPr>
          <w:rFonts w:ascii="Arial" w:hAnsi="Arial" w:cs="Arial"/>
          <w:sz w:val="24"/>
          <w:szCs w:val="24"/>
          <w:u w:val="single"/>
        </w:rPr>
      </w:pPr>
      <w:r w:rsidRPr="00820E31">
        <w:rPr>
          <w:rFonts w:ascii="Arial" w:hAnsi="Arial" w:cs="Arial"/>
          <w:sz w:val="24"/>
          <w:szCs w:val="24"/>
          <w:u w:val="single"/>
        </w:rPr>
        <w:t xml:space="preserve">Summary of discussions </w:t>
      </w:r>
      <w:r w:rsidR="00506B7E" w:rsidRPr="00820E31">
        <w:rPr>
          <w:rFonts w:ascii="Arial" w:hAnsi="Arial" w:cs="Arial"/>
          <w:sz w:val="24"/>
          <w:szCs w:val="24"/>
          <w:u w:val="single"/>
        </w:rPr>
        <w:t>with</w:t>
      </w:r>
      <w:r w:rsidRPr="00820E31">
        <w:rPr>
          <w:rFonts w:ascii="Arial" w:hAnsi="Arial" w:cs="Arial"/>
          <w:sz w:val="24"/>
          <w:szCs w:val="24"/>
          <w:u w:val="single"/>
        </w:rPr>
        <w:t xml:space="preserve"> NHC</w:t>
      </w:r>
      <w:r w:rsidR="00820E31">
        <w:rPr>
          <w:rFonts w:ascii="Arial" w:hAnsi="Arial" w:cs="Arial"/>
          <w:sz w:val="24"/>
          <w:szCs w:val="24"/>
          <w:u w:val="single"/>
        </w:rPr>
        <w:t xml:space="preserve"> </w:t>
      </w:r>
      <w:r w:rsidR="00506B7E" w:rsidRPr="00820E31">
        <w:rPr>
          <w:rFonts w:ascii="Arial" w:hAnsi="Arial" w:cs="Arial"/>
          <w:sz w:val="24"/>
          <w:szCs w:val="24"/>
          <w:u w:val="single"/>
        </w:rPr>
        <w:t>members</w:t>
      </w:r>
      <w:r w:rsidRPr="00820E31">
        <w:rPr>
          <w:rFonts w:ascii="Arial" w:hAnsi="Arial" w:cs="Arial"/>
          <w:sz w:val="24"/>
          <w:szCs w:val="24"/>
          <w:u w:val="single"/>
        </w:rPr>
        <w:t xml:space="preserve"> around </w:t>
      </w:r>
      <w:r w:rsidR="00445B33" w:rsidRPr="00820E31">
        <w:rPr>
          <w:rFonts w:ascii="Arial" w:hAnsi="Arial" w:cs="Arial"/>
          <w:sz w:val="24"/>
          <w:szCs w:val="24"/>
          <w:u w:val="single"/>
        </w:rPr>
        <w:t xml:space="preserve">the </w:t>
      </w:r>
      <w:r w:rsidRPr="00820E31">
        <w:rPr>
          <w:rFonts w:ascii="Arial" w:hAnsi="Arial" w:cs="Arial"/>
          <w:sz w:val="24"/>
          <w:szCs w:val="24"/>
          <w:u w:val="single"/>
        </w:rPr>
        <w:t>VFM Consultation document</w:t>
      </w:r>
    </w:p>
    <w:p w:rsidR="00C77FAB" w:rsidRPr="00CB20EB" w:rsidRDefault="00C77FAB" w:rsidP="00C77FAB">
      <w:pPr>
        <w:spacing w:after="0" w:line="240" w:lineRule="auto"/>
        <w:rPr>
          <w:rFonts w:ascii="Arial" w:hAnsi="Arial" w:cs="Arial"/>
          <w:b/>
          <w:sz w:val="24"/>
          <w:szCs w:val="24"/>
          <w:u w:val="single"/>
        </w:rPr>
      </w:pPr>
    </w:p>
    <w:p w:rsidR="006F5F8C" w:rsidRDefault="006F5F8C" w:rsidP="00C77FAB">
      <w:pPr>
        <w:spacing w:after="0" w:line="240" w:lineRule="auto"/>
        <w:rPr>
          <w:rFonts w:ascii="Arial" w:hAnsi="Arial" w:cs="Arial"/>
          <w:sz w:val="24"/>
          <w:szCs w:val="24"/>
        </w:rPr>
      </w:pPr>
      <w:r w:rsidRPr="00CB20EB">
        <w:rPr>
          <w:rFonts w:ascii="Arial" w:hAnsi="Arial" w:cs="Arial"/>
          <w:sz w:val="24"/>
          <w:szCs w:val="24"/>
        </w:rPr>
        <w:t xml:space="preserve">In response to the consultation, and in order to get the views of its members, NHC arranged and facilitated three meetings around its sub-regions of North East, North West and Yorkshire and the Humber. </w:t>
      </w:r>
      <w:r w:rsidR="00506B7E" w:rsidRPr="00CB20EB">
        <w:rPr>
          <w:rFonts w:ascii="Arial" w:hAnsi="Arial" w:cs="Arial"/>
          <w:sz w:val="24"/>
          <w:szCs w:val="24"/>
        </w:rPr>
        <w:t xml:space="preserve">The </w:t>
      </w:r>
      <w:r w:rsidRPr="00CB20EB">
        <w:rPr>
          <w:rFonts w:ascii="Arial" w:hAnsi="Arial" w:cs="Arial"/>
          <w:sz w:val="24"/>
          <w:szCs w:val="24"/>
        </w:rPr>
        <w:t>key points in discussions held at those meetings</w:t>
      </w:r>
      <w:r w:rsidR="00506B7E" w:rsidRPr="00CB20EB">
        <w:rPr>
          <w:rFonts w:ascii="Arial" w:hAnsi="Arial" w:cs="Arial"/>
          <w:sz w:val="24"/>
          <w:szCs w:val="24"/>
        </w:rPr>
        <w:t xml:space="preserve"> have</w:t>
      </w:r>
      <w:r w:rsidRPr="00CB20EB">
        <w:rPr>
          <w:rFonts w:ascii="Arial" w:hAnsi="Arial" w:cs="Arial"/>
          <w:sz w:val="24"/>
          <w:szCs w:val="24"/>
        </w:rPr>
        <w:t xml:space="preserve"> inform</w:t>
      </w:r>
      <w:r w:rsidR="00506B7E" w:rsidRPr="00CB20EB">
        <w:rPr>
          <w:rFonts w:ascii="Arial" w:hAnsi="Arial" w:cs="Arial"/>
          <w:sz w:val="24"/>
          <w:szCs w:val="24"/>
        </w:rPr>
        <w:t>ed this</w:t>
      </w:r>
      <w:r w:rsidRPr="00CB20EB">
        <w:rPr>
          <w:rFonts w:ascii="Arial" w:hAnsi="Arial" w:cs="Arial"/>
          <w:sz w:val="24"/>
          <w:szCs w:val="24"/>
        </w:rPr>
        <w:t xml:space="preserve"> NHC formal response to the consultation</w:t>
      </w:r>
      <w:r w:rsidR="00C802E9" w:rsidRPr="00CB20EB">
        <w:rPr>
          <w:rFonts w:ascii="Arial" w:hAnsi="Arial" w:cs="Arial"/>
          <w:sz w:val="24"/>
          <w:szCs w:val="24"/>
        </w:rPr>
        <w:t>.</w:t>
      </w:r>
    </w:p>
    <w:p w:rsidR="00C77FAB" w:rsidRPr="00CB20EB" w:rsidRDefault="00C77FAB" w:rsidP="00C77FAB">
      <w:pPr>
        <w:spacing w:after="0" w:line="240" w:lineRule="auto"/>
        <w:rPr>
          <w:rFonts w:ascii="Arial" w:hAnsi="Arial" w:cs="Arial"/>
          <w:sz w:val="24"/>
          <w:szCs w:val="24"/>
        </w:rPr>
      </w:pPr>
    </w:p>
    <w:p w:rsidR="00C802E9" w:rsidRPr="00820E31" w:rsidRDefault="00C802E9" w:rsidP="00C77FAB">
      <w:pPr>
        <w:spacing w:after="0" w:line="240" w:lineRule="auto"/>
        <w:rPr>
          <w:rFonts w:ascii="Arial" w:hAnsi="Arial" w:cs="Arial"/>
          <w:sz w:val="24"/>
          <w:szCs w:val="24"/>
          <w:u w:val="single"/>
        </w:rPr>
      </w:pPr>
      <w:r w:rsidRPr="00820E31">
        <w:rPr>
          <w:rFonts w:ascii="Arial" w:hAnsi="Arial" w:cs="Arial"/>
          <w:sz w:val="24"/>
          <w:szCs w:val="24"/>
          <w:u w:val="single"/>
        </w:rPr>
        <w:t>Format of the consultation meetings</w:t>
      </w:r>
    </w:p>
    <w:p w:rsidR="00C77FAB" w:rsidRPr="00CB20EB" w:rsidRDefault="00C77FAB" w:rsidP="00C77FAB">
      <w:pPr>
        <w:spacing w:after="0" w:line="240" w:lineRule="auto"/>
        <w:rPr>
          <w:rFonts w:ascii="Arial" w:hAnsi="Arial" w:cs="Arial"/>
          <w:b/>
          <w:sz w:val="24"/>
          <w:szCs w:val="24"/>
          <w:u w:val="single"/>
        </w:rPr>
      </w:pPr>
    </w:p>
    <w:p w:rsidR="00C802E9" w:rsidRDefault="00A0170D" w:rsidP="00C77FAB">
      <w:pPr>
        <w:spacing w:after="0" w:line="240" w:lineRule="auto"/>
        <w:rPr>
          <w:rFonts w:ascii="Arial" w:hAnsi="Arial" w:cs="Arial"/>
          <w:sz w:val="24"/>
          <w:szCs w:val="24"/>
        </w:rPr>
      </w:pPr>
      <w:r w:rsidRPr="00CB20EB">
        <w:rPr>
          <w:rFonts w:ascii="Arial" w:hAnsi="Arial" w:cs="Arial"/>
          <w:sz w:val="24"/>
          <w:szCs w:val="24"/>
        </w:rPr>
        <w:t>We have structured our response</w:t>
      </w:r>
      <w:r w:rsidR="00C802E9" w:rsidRPr="00CB20EB">
        <w:rPr>
          <w:rFonts w:ascii="Arial" w:hAnsi="Arial" w:cs="Arial"/>
          <w:sz w:val="24"/>
          <w:szCs w:val="24"/>
        </w:rPr>
        <w:t xml:space="preserve"> as follows:</w:t>
      </w:r>
    </w:p>
    <w:p w:rsidR="00C77FAB" w:rsidRPr="00CB20EB" w:rsidRDefault="00C77FAB" w:rsidP="00C77FAB">
      <w:pPr>
        <w:spacing w:after="0" w:line="240" w:lineRule="auto"/>
        <w:rPr>
          <w:rFonts w:ascii="Arial" w:hAnsi="Arial" w:cs="Arial"/>
          <w:sz w:val="24"/>
          <w:szCs w:val="24"/>
        </w:rPr>
      </w:pPr>
    </w:p>
    <w:p w:rsidR="00C802E9" w:rsidRPr="00CB20EB" w:rsidRDefault="00C802E9" w:rsidP="00C77FAB">
      <w:pPr>
        <w:pStyle w:val="ListParagraph"/>
        <w:numPr>
          <w:ilvl w:val="0"/>
          <w:numId w:val="1"/>
        </w:numPr>
        <w:spacing w:after="0" w:line="240" w:lineRule="auto"/>
        <w:rPr>
          <w:rFonts w:ascii="Arial" w:hAnsi="Arial" w:cs="Arial"/>
          <w:sz w:val="24"/>
          <w:szCs w:val="24"/>
        </w:rPr>
      </w:pPr>
      <w:r w:rsidRPr="00CB20EB">
        <w:rPr>
          <w:rFonts w:ascii="Arial" w:hAnsi="Arial" w:cs="Arial"/>
          <w:sz w:val="24"/>
          <w:szCs w:val="24"/>
        </w:rPr>
        <w:t xml:space="preserve">General </w:t>
      </w:r>
      <w:r w:rsidR="00A0170D" w:rsidRPr="00CB20EB">
        <w:rPr>
          <w:rFonts w:ascii="Arial" w:hAnsi="Arial" w:cs="Arial"/>
          <w:sz w:val="24"/>
          <w:szCs w:val="24"/>
        </w:rPr>
        <w:t>commentary</w:t>
      </w:r>
      <w:r w:rsidRPr="00CB20EB">
        <w:rPr>
          <w:rFonts w:ascii="Arial" w:hAnsi="Arial" w:cs="Arial"/>
          <w:sz w:val="24"/>
          <w:szCs w:val="24"/>
        </w:rPr>
        <w:t xml:space="preserve"> around the Standard, its key suggestions and the likely impact on the way members needed to operate as a consequence.</w:t>
      </w:r>
    </w:p>
    <w:p w:rsidR="00C802E9" w:rsidRDefault="00C802E9" w:rsidP="00C77FAB">
      <w:pPr>
        <w:pStyle w:val="ListParagraph"/>
        <w:numPr>
          <w:ilvl w:val="0"/>
          <w:numId w:val="1"/>
        </w:numPr>
        <w:spacing w:after="0" w:line="240" w:lineRule="auto"/>
        <w:rPr>
          <w:rFonts w:ascii="Arial" w:hAnsi="Arial" w:cs="Arial"/>
          <w:sz w:val="24"/>
          <w:szCs w:val="24"/>
        </w:rPr>
      </w:pPr>
      <w:r w:rsidRPr="00CB20EB">
        <w:rPr>
          <w:rFonts w:ascii="Arial" w:hAnsi="Arial" w:cs="Arial"/>
          <w:sz w:val="24"/>
          <w:szCs w:val="24"/>
        </w:rPr>
        <w:t>The consultation posed 10 questions to provide structure to the responses. After the general discussion each of the 10 questions was considered.</w:t>
      </w:r>
    </w:p>
    <w:p w:rsidR="00C77FAB" w:rsidRPr="00CB20EB" w:rsidRDefault="00C77FAB" w:rsidP="00C77FAB">
      <w:pPr>
        <w:pStyle w:val="ListParagraph"/>
        <w:spacing w:after="0" w:line="240" w:lineRule="auto"/>
        <w:rPr>
          <w:rFonts w:ascii="Arial" w:hAnsi="Arial" w:cs="Arial"/>
          <w:sz w:val="24"/>
          <w:szCs w:val="24"/>
        </w:rPr>
      </w:pPr>
    </w:p>
    <w:p w:rsidR="00C802E9" w:rsidRPr="00820E31" w:rsidRDefault="00C802E9" w:rsidP="00C77FAB">
      <w:pPr>
        <w:spacing w:after="0" w:line="240" w:lineRule="auto"/>
        <w:rPr>
          <w:rFonts w:ascii="Arial" w:hAnsi="Arial" w:cs="Arial"/>
          <w:sz w:val="24"/>
          <w:szCs w:val="24"/>
          <w:u w:val="single"/>
        </w:rPr>
      </w:pPr>
      <w:r w:rsidRPr="00820E31">
        <w:rPr>
          <w:rFonts w:ascii="Arial" w:hAnsi="Arial" w:cs="Arial"/>
          <w:sz w:val="24"/>
          <w:szCs w:val="24"/>
          <w:u w:val="single"/>
        </w:rPr>
        <w:t xml:space="preserve">General </w:t>
      </w:r>
      <w:r w:rsidR="00A0170D" w:rsidRPr="00820E31">
        <w:rPr>
          <w:rFonts w:ascii="Arial" w:hAnsi="Arial" w:cs="Arial"/>
          <w:sz w:val="24"/>
          <w:szCs w:val="24"/>
          <w:u w:val="single"/>
        </w:rPr>
        <w:t xml:space="preserve">commentary </w:t>
      </w:r>
      <w:r w:rsidRPr="00820E31">
        <w:rPr>
          <w:rFonts w:ascii="Arial" w:hAnsi="Arial" w:cs="Arial"/>
          <w:sz w:val="24"/>
          <w:szCs w:val="24"/>
          <w:u w:val="single"/>
        </w:rPr>
        <w:t>and key points</w:t>
      </w:r>
    </w:p>
    <w:p w:rsidR="00C77FAB" w:rsidRPr="00CB20EB" w:rsidRDefault="00C77FAB" w:rsidP="00C77FAB">
      <w:pPr>
        <w:spacing w:after="0" w:line="240" w:lineRule="auto"/>
        <w:rPr>
          <w:rFonts w:ascii="Arial" w:hAnsi="Arial" w:cs="Arial"/>
          <w:b/>
          <w:sz w:val="24"/>
          <w:szCs w:val="24"/>
        </w:rPr>
      </w:pPr>
    </w:p>
    <w:p w:rsidR="00526BB1" w:rsidRDefault="00C802E9" w:rsidP="00C77FAB">
      <w:pPr>
        <w:spacing w:after="0" w:line="240" w:lineRule="auto"/>
        <w:ind w:left="360"/>
        <w:rPr>
          <w:rFonts w:ascii="Arial" w:eastAsiaTheme="minorEastAsia" w:hAnsi="Arial" w:cs="Arial"/>
          <w:b/>
          <w:i/>
          <w:color w:val="000000" w:themeColor="text1"/>
          <w:kern w:val="24"/>
          <w:sz w:val="24"/>
          <w:szCs w:val="24"/>
          <w:lang w:eastAsia="en-GB"/>
        </w:rPr>
      </w:pPr>
      <w:r w:rsidRPr="00CB20EB">
        <w:rPr>
          <w:rFonts w:ascii="Arial" w:hAnsi="Arial" w:cs="Arial"/>
          <w:b/>
          <w:i/>
          <w:sz w:val="24"/>
          <w:szCs w:val="24"/>
        </w:rPr>
        <w:t>Move away from an annually submitted VFM self-</w:t>
      </w:r>
      <w:r w:rsidR="00FA6BC8" w:rsidRPr="00CB20EB">
        <w:rPr>
          <w:rFonts w:ascii="Arial" w:hAnsi="Arial" w:cs="Arial"/>
          <w:b/>
          <w:i/>
          <w:sz w:val="24"/>
          <w:szCs w:val="24"/>
        </w:rPr>
        <w:t>assessment to</w:t>
      </w:r>
      <w:r w:rsidRPr="00CB20EB">
        <w:rPr>
          <w:rFonts w:ascii="Arial" w:hAnsi="Arial" w:cs="Arial"/>
          <w:b/>
          <w:i/>
          <w:sz w:val="24"/>
          <w:szCs w:val="24"/>
        </w:rPr>
        <w:t xml:space="preserve"> an assessment judged on performa</w:t>
      </w:r>
      <w:r w:rsidR="00C77FAB">
        <w:rPr>
          <w:rFonts w:ascii="Arial" w:hAnsi="Arial" w:cs="Arial"/>
          <w:b/>
          <w:i/>
          <w:sz w:val="24"/>
          <w:szCs w:val="24"/>
        </w:rPr>
        <w:t>nce against a series of metrics</w:t>
      </w:r>
    </w:p>
    <w:p w:rsidR="00C77FAB" w:rsidRPr="00CB20EB" w:rsidRDefault="00C77FAB" w:rsidP="00C77FAB">
      <w:pPr>
        <w:spacing w:after="0" w:line="240" w:lineRule="auto"/>
        <w:ind w:left="360"/>
        <w:rPr>
          <w:rFonts w:ascii="Arial" w:eastAsiaTheme="minorEastAsia" w:hAnsi="Arial" w:cs="Arial"/>
          <w:b/>
          <w:i/>
          <w:color w:val="000000" w:themeColor="text1"/>
          <w:kern w:val="24"/>
          <w:sz w:val="24"/>
          <w:szCs w:val="24"/>
          <w:lang w:eastAsia="en-GB"/>
        </w:rPr>
      </w:pPr>
    </w:p>
    <w:p w:rsidR="00526BB1" w:rsidRDefault="00526BB1" w:rsidP="00C77FAB">
      <w:pPr>
        <w:spacing w:after="0" w:line="240" w:lineRule="auto"/>
        <w:ind w:left="360"/>
        <w:rPr>
          <w:rFonts w:ascii="Arial" w:eastAsiaTheme="minorEastAsia" w:hAnsi="Arial" w:cs="Arial"/>
          <w:color w:val="000000" w:themeColor="text1"/>
          <w:kern w:val="24"/>
          <w:sz w:val="24"/>
          <w:szCs w:val="24"/>
          <w:lang w:eastAsia="en-GB"/>
        </w:rPr>
      </w:pPr>
      <w:r w:rsidRPr="00CB20EB">
        <w:rPr>
          <w:rFonts w:ascii="Arial" w:eastAsiaTheme="minorEastAsia" w:hAnsi="Arial" w:cs="Arial"/>
          <w:color w:val="000000" w:themeColor="text1"/>
          <w:kern w:val="24"/>
          <w:sz w:val="24"/>
          <w:szCs w:val="24"/>
          <w:lang w:eastAsia="en-GB"/>
        </w:rPr>
        <w:t xml:space="preserve">The current requirements are that organisations submit a VFM self-assessment to HCA, describing their approach to VFM and providing examples and evidence of VFM in </w:t>
      </w:r>
      <w:r w:rsidR="00FA6BC8" w:rsidRPr="00CB20EB">
        <w:rPr>
          <w:rFonts w:ascii="Arial" w:eastAsiaTheme="minorEastAsia" w:hAnsi="Arial" w:cs="Arial"/>
          <w:color w:val="000000" w:themeColor="text1"/>
          <w:kern w:val="24"/>
          <w:sz w:val="24"/>
          <w:szCs w:val="24"/>
          <w:lang w:eastAsia="en-GB"/>
        </w:rPr>
        <w:t xml:space="preserve">practice </w:t>
      </w:r>
      <w:r w:rsidRPr="00CB20EB">
        <w:rPr>
          <w:rFonts w:ascii="Arial" w:eastAsiaTheme="minorEastAsia" w:hAnsi="Arial" w:cs="Arial"/>
          <w:color w:val="000000" w:themeColor="text1"/>
          <w:kern w:val="24"/>
          <w:sz w:val="24"/>
          <w:szCs w:val="24"/>
          <w:lang w:eastAsia="en-GB"/>
        </w:rPr>
        <w:t>within their organisation. The consultation proposes that the requirement on housing providers to produce the VFM self-assessment is removed and replaced with a series of performance metrics.</w:t>
      </w:r>
    </w:p>
    <w:p w:rsidR="00C77FAB" w:rsidRPr="00CB20EB" w:rsidRDefault="00C77FAB" w:rsidP="00C77FAB">
      <w:pPr>
        <w:spacing w:after="0" w:line="240" w:lineRule="auto"/>
        <w:ind w:left="360"/>
        <w:rPr>
          <w:rFonts w:ascii="Arial" w:eastAsiaTheme="minorEastAsia" w:hAnsi="Arial" w:cs="Arial"/>
          <w:color w:val="000000" w:themeColor="text1"/>
          <w:kern w:val="24"/>
          <w:sz w:val="24"/>
          <w:szCs w:val="24"/>
          <w:lang w:eastAsia="en-GB"/>
        </w:rPr>
      </w:pPr>
    </w:p>
    <w:p w:rsidR="00526BB1" w:rsidRDefault="00526BB1" w:rsidP="00C77FAB">
      <w:pPr>
        <w:spacing w:after="0" w:line="240" w:lineRule="auto"/>
        <w:ind w:left="360"/>
        <w:rPr>
          <w:rFonts w:ascii="Arial" w:eastAsiaTheme="minorEastAsia" w:hAnsi="Arial" w:cs="Arial"/>
          <w:color w:val="000000" w:themeColor="text1"/>
          <w:kern w:val="24"/>
          <w:sz w:val="24"/>
          <w:szCs w:val="24"/>
          <w:lang w:eastAsia="en-GB"/>
        </w:rPr>
      </w:pPr>
      <w:r w:rsidRPr="00CB20EB">
        <w:rPr>
          <w:rFonts w:ascii="Arial" w:eastAsiaTheme="minorEastAsia" w:hAnsi="Arial" w:cs="Arial"/>
          <w:color w:val="000000" w:themeColor="text1"/>
          <w:kern w:val="24"/>
          <w:sz w:val="24"/>
          <w:szCs w:val="24"/>
          <w:lang w:eastAsia="en-GB"/>
        </w:rPr>
        <w:t xml:space="preserve">The removal of the mandatory requirement was well received by members, though the majority of attendees recognise the value of carrying out a self-assessment for internal use. </w:t>
      </w:r>
      <w:r w:rsidR="00FA6BC8" w:rsidRPr="00CB20EB">
        <w:rPr>
          <w:rFonts w:ascii="Arial" w:eastAsiaTheme="minorEastAsia" w:hAnsi="Arial" w:cs="Arial"/>
          <w:color w:val="000000" w:themeColor="text1"/>
          <w:kern w:val="24"/>
          <w:sz w:val="24"/>
          <w:szCs w:val="24"/>
          <w:lang w:eastAsia="en-GB"/>
        </w:rPr>
        <w:t xml:space="preserve">It is felt that the current requirement lends itself to the self-assessment document being too comprehensive - to ensure that it contains everything that HCA may wish to see. </w:t>
      </w:r>
      <w:r w:rsidR="002B19F9" w:rsidRPr="00CB20EB">
        <w:rPr>
          <w:rFonts w:ascii="Arial" w:eastAsiaTheme="minorEastAsia" w:hAnsi="Arial" w:cs="Arial"/>
          <w:color w:val="000000" w:themeColor="text1"/>
          <w:kern w:val="24"/>
          <w:sz w:val="24"/>
          <w:szCs w:val="24"/>
          <w:lang w:eastAsia="en-GB"/>
        </w:rPr>
        <w:t>It is typically at least 30 pages long and is a wordy, narrative report. Members welcomed the opportunity to tailor the VFM self-assessment for internal consumption as a reference guide to themselves rather than a mandatory requirement. This should make it more succinct and relevant.</w:t>
      </w:r>
    </w:p>
    <w:p w:rsidR="00C77FAB" w:rsidRPr="00CB20EB" w:rsidRDefault="00C77FAB" w:rsidP="00C77FAB">
      <w:pPr>
        <w:spacing w:after="0" w:line="240" w:lineRule="auto"/>
        <w:ind w:left="360"/>
        <w:rPr>
          <w:rFonts w:ascii="Arial" w:eastAsiaTheme="minorEastAsia" w:hAnsi="Arial" w:cs="Arial"/>
          <w:color w:val="000000" w:themeColor="text1"/>
          <w:kern w:val="24"/>
          <w:sz w:val="24"/>
          <w:szCs w:val="24"/>
          <w:lang w:eastAsia="en-GB"/>
        </w:rPr>
      </w:pPr>
    </w:p>
    <w:p w:rsidR="002B19F9" w:rsidRDefault="002B19F9" w:rsidP="00C77FAB">
      <w:pPr>
        <w:spacing w:after="0" w:line="240" w:lineRule="auto"/>
        <w:ind w:left="360"/>
        <w:rPr>
          <w:rFonts w:ascii="Arial" w:eastAsiaTheme="minorEastAsia" w:hAnsi="Arial" w:cs="Arial"/>
          <w:color w:val="000000" w:themeColor="text1"/>
          <w:kern w:val="24"/>
          <w:sz w:val="24"/>
          <w:szCs w:val="24"/>
          <w:lang w:eastAsia="en-GB"/>
        </w:rPr>
      </w:pPr>
      <w:r w:rsidRPr="00CB20EB">
        <w:rPr>
          <w:rFonts w:ascii="Arial" w:eastAsiaTheme="minorEastAsia" w:hAnsi="Arial" w:cs="Arial"/>
          <w:color w:val="000000" w:themeColor="text1"/>
          <w:kern w:val="24"/>
          <w:sz w:val="24"/>
          <w:szCs w:val="24"/>
          <w:lang w:eastAsia="en-GB"/>
        </w:rPr>
        <w:lastRenderedPageBreak/>
        <w:t>The metrics contained within the consultation are a list of 7 performance metrics</w:t>
      </w:r>
      <w:r w:rsidR="00533F0D" w:rsidRPr="00CB20EB">
        <w:rPr>
          <w:rFonts w:ascii="Arial" w:eastAsiaTheme="minorEastAsia" w:hAnsi="Arial" w:cs="Arial"/>
          <w:color w:val="000000" w:themeColor="text1"/>
          <w:kern w:val="24"/>
          <w:sz w:val="24"/>
          <w:szCs w:val="24"/>
          <w:lang w:eastAsia="en-GB"/>
        </w:rPr>
        <w:t>:</w:t>
      </w:r>
    </w:p>
    <w:p w:rsidR="00C77FAB" w:rsidRPr="00CB20EB" w:rsidRDefault="00C77FAB" w:rsidP="00C77FAB">
      <w:pPr>
        <w:spacing w:after="0" w:line="240" w:lineRule="auto"/>
        <w:ind w:left="360"/>
        <w:rPr>
          <w:rFonts w:ascii="Arial" w:eastAsiaTheme="minorEastAsia" w:hAnsi="Arial" w:cs="Arial"/>
          <w:color w:val="000000" w:themeColor="text1"/>
          <w:kern w:val="24"/>
          <w:sz w:val="24"/>
          <w:szCs w:val="24"/>
          <w:lang w:eastAsia="en-GB"/>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1 – Reinvestment %</w:t>
      </w:r>
    </w:p>
    <w:p w:rsidR="00533F0D" w:rsidRDefault="00533F0D" w:rsidP="00C77FAB">
      <w:pPr>
        <w:spacing w:after="0" w:line="240" w:lineRule="auto"/>
        <w:ind w:left="360"/>
        <w:rPr>
          <w:rFonts w:ascii="Arial" w:eastAsiaTheme="minorEastAsia" w:hAnsi="Arial" w:cs="Arial"/>
          <w:color w:val="000000" w:themeColor="text1"/>
          <w:kern w:val="24"/>
          <w:sz w:val="24"/>
          <w:szCs w:val="24"/>
          <w:lang w:eastAsia="en-GB"/>
        </w:rPr>
      </w:pPr>
      <w:r w:rsidRPr="00CB20EB">
        <w:rPr>
          <w:rFonts w:ascii="Arial" w:eastAsiaTheme="minorEastAsia" w:hAnsi="Arial" w:cs="Arial"/>
          <w:color w:val="000000" w:themeColor="text1"/>
          <w:kern w:val="24"/>
          <w:sz w:val="24"/>
          <w:szCs w:val="24"/>
          <w:lang w:eastAsia="en-GB"/>
        </w:rPr>
        <w:t>This metric looks at the investment in properties (existing stock as well as new supply) as a percentage of the value of total properties held</w:t>
      </w:r>
      <w:r w:rsidR="007671D6">
        <w:rPr>
          <w:rFonts w:ascii="Arial" w:eastAsiaTheme="minorEastAsia" w:hAnsi="Arial" w:cs="Arial"/>
          <w:color w:val="000000" w:themeColor="text1"/>
          <w:kern w:val="24"/>
          <w:sz w:val="24"/>
          <w:szCs w:val="24"/>
          <w:lang w:eastAsia="en-GB"/>
        </w:rPr>
        <w:t>.</w:t>
      </w:r>
    </w:p>
    <w:p w:rsidR="00AA23B3" w:rsidRPr="00CB20EB" w:rsidRDefault="00AA23B3" w:rsidP="00C77FAB">
      <w:pPr>
        <w:spacing w:after="0" w:line="240" w:lineRule="auto"/>
        <w:ind w:left="360"/>
        <w:rPr>
          <w:rFonts w:ascii="Arial" w:eastAsiaTheme="minorEastAsia" w:hAnsi="Arial" w:cs="Arial"/>
          <w:color w:val="000000" w:themeColor="text1"/>
          <w:kern w:val="24"/>
          <w:sz w:val="24"/>
          <w:szCs w:val="24"/>
          <w:lang w:eastAsia="en-GB"/>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2 – New supply delivered %</w:t>
      </w: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The New supply metric sets out the number of new social housing and non-social housing units that have been acquired or developed in the year as a proportion of total social housing units and non-social housing units managed at period end</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3 – Gearing %</w:t>
      </w: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This metric assesses how much of the adjusted assets are made up of debt and the degree of dependence on debt finance. It is often a key indicator of a registered</w:t>
      </w:r>
      <w:r w:rsidR="00AA23B3">
        <w:rPr>
          <w:rFonts w:ascii="Arial" w:hAnsi="Arial" w:cs="Arial"/>
          <w:sz w:val="24"/>
          <w:szCs w:val="24"/>
        </w:rPr>
        <w:t xml:space="preserve"> provider’s appetite for growth</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 xml:space="preserve">Metric 4 – Earnings </w:t>
      </w:r>
      <w:proofErr w:type="gramStart"/>
      <w:r w:rsidRPr="00CB20EB">
        <w:rPr>
          <w:rFonts w:ascii="Arial" w:hAnsi="Arial" w:cs="Arial"/>
          <w:i/>
          <w:sz w:val="24"/>
          <w:szCs w:val="24"/>
        </w:rPr>
        <w:t>Before</w:t>
      </w:r>
      <w:proofErr w:type="gramEnd"/>
      <w:r w:rsidRPr="00CB20EB">
        <w:rPr>
          <w:rFonts w:ascii="Arial" w:hAnsi="Arial" w:cs="Arial"/>
          <w:i/>
          <w:sz w:val="24"/>
          <w:szCs w:val="24"/>
        </w:rPr>
        <w:t xml:space="preserve"> Interest, Tax, Depreciation, Amortisation, Major Repairs Included (EBITDA MRI) Interest Cover %</w:t>
      </w:r>
    </w:p>
    <w:p w:rsidR="00AA23B3" w:rsidRDefault="00AA23B3" w:rsidP="00C77FAB">
      <w:pPr>
        <w:spacing w:after="0" w:line="240" w:lineRule="auto"/>
        <w:ind w:left="360"/>
        <w:rPr>
          <w:rFonts w:ascii="Arial" w:hAnsi="Arial" w:cs="Arial"/>
          <w:sz w:val="24"/>
          <w:szCs w:val="24"/>
        </w:rPr>
      </w:pP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The EBITDA MRI interest cover measure is a key indicator for liquidity and investment capacity. It seeks to measure the level of surplus that a registered provider generates against interes</w:t>
      </w:r>
      <w:r w:rsidR="00AA23B3">
        <w:rPr>
          <w:rFonts w:ascii="Arial" w:hAnsi="Arial" w:cs="Arial"/>
          <w:sz w:val="24"/>
          <w:szCs w:val="24"/>
        </w:rPr>
        <w:t>t payments</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5 – Headline social housing cost per unit</w:t>
      </w: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The unit cost metric assesses the headline social housing cost per un</w:t>
      </w:r>
      <w:r w:rsidR="00AA23B3">
        <w:rPr>
          <w:rFonts w:ascii="Arial" w:hAnsi="Arial" w:cs="Arial"/>
          <w:sz w:val="24"/>
          <w:szCs w:val="24"/>
        </w:rPr>
        <w:t>it as defined by the regulator</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6 – Operating Margin %</w:t>
      </w: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The Operating Margin demonstrates the profitability of operating assets before exceptional e</w:t>
      </w:r>
      <w:r w:rsidR="00AA23B3">
        <w:rPr>
          <w:rFonts w:ascii="Arial" w:hAnsi="Arial" w:cs="Arial"/>
          <w:sz w:val="24"/>
          <w:szCs w:val="24"/>
        </w:rPr>
        <w:t>xpenses are taken into account</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533F0D" w:rsidRPr="00CB20EB" w:rsidRDefault="00533F0D" w:rsidP="00C77FAB">
      <w:pPr>
        <w:spacing w:after="0" w:line="240" w:lineRule="auto"/>
        <w:ind w:left="360"/>
        <w:rPr>
          <w:rFonts w:ascii="Arial" w:hAnsi="Arial" w:cs="Arial"/>
          <w:i/>
          <w:sz w:val="24"/>
          <w:szCs w:val="24"/>
        </w:rPr>
      </w:pPr>
      <w:r w:rsidRPr="00CB20EB">
        <w:rPr>
          <w:rFonts w:ascii="Arial" w:hAnsi="Arial" w:cs="Arial"/>
          <w:i/>
          <w:sz w:val="24"/>
          <w:szCs w:val="24"/>
        </w:rPr>
        <w:t>Metric 7 – Return on capital employed (ROCE)</w:t>
      </w:r>
    </w:p>
    <w:p w:rsidR="002B19F9" w:rsidRDefault="00533F0D" w:rsidP="00C77FAB">
      <w:pPr>
        <w:spacing w:after="0" w:line="240" w:lineRule="auto"/>
        <w:ind w:left="360"/>
        <w:rPr>
          <w:rFonts w:ascii="Arial" w:hAnsi="Arial" w:cs="Arial"/>
          <w:sz w:val="24"/>
          <w:szCs w:val="24"/>
        </w:rPr>
      </w:pPr>
      <w:r w:rsidRPr="00CB20EB">
        <w:rPr>
          <w:rFonts w:ascii="Arial" w:hAnsi="Arial" w:cs="Arial"/>
          <w:sz w:val="24"/>
          <w:szCs w:val="24"/>
        </w:rPr>
        <w:t>This metric compares operating surplus to total assets less current liabilities and is a common measure in the commercial sector to assess the efficient investment of capital resources.</w:t>
      </w:r>
    </w:p>
    <w:p w:rsidR="00AA23B3" w:rsidRPr="00CB20EB" w:rsidRDefault="00AA23B3" w:rsidP="00C77FAB">
      <w:pPr>
        <w:spacing w:after="0" w:line="240" w:lineRule="auto"/>
        <w:ind w:left="360"/>
        <w:rPr>
          <w:rFonts w:ascii="Arial" w:hAnsi="Arial" w:cs="Arial"/>
          <w:sz w:val="24"/>
          <w:szCs w:val="24"/>
        </w:rPr>
      </w:pPr>
    </w:p>
    <w:p w:rsidR="00533F0D" w:rsidRDefault="00533F0D" w:rsidP="00C77FAB">
      <w:pPr>
        <w:spacing w:after="0" w:line="240" w:lineRule="auto"/>
        <w:ind w:left="360"/>
        <w:rPr>
          <w:rFonts w:ascii="Arial" w:hAnsi="Arial" w:cs="Arial"/>
          <w:sz w:val="24"/>
          <w:szCs w:val="24"/>
        </w:rPr>
      </w:pPr>
      <w:r w:rsidRPr="00CB20EB">
        <w:rPr>
          <w:rFonts w:ascii="Arial" w:hAnsi="Arial" w:cs="Arial"/>
          <w:sz w:val="24"/>
          <w:szCs w:val="24"/>
        </w:rPr>
        <w:t>As can be seen, the metrics are all financial metrics. Members felt that these should be relatively easy to collect, as they typically form part of the annual financial report anyway</w:t>
      </w:r>
      <w:r w:rsidR="00BC2E1E" w:rsidRPr="00CB20EB">
        <w:rPr>
          <w:rFonts w:ascii="Arial" w:hAnsi="Arial" w:cs="Arial"/>
          <w:sz w:val="24"/>
          <w:szCs w:val="24"/>
        </w:rPr>
        <w:t>. There is a requirement to compare against peers and there was some discussion around the prac</w:t>
      </w:r>
      <w:r w:rsidR="00AA23B3">
        <w:rPr>
          <w:rFonts w:ascii="Arial" w:hAnsi="Arial" w:cs="Arial"/>
          <w:sz w:val="24"/>
          <w:szCs w:val="24"/>
        </w:rPr>
        <w:t xml:space="preserve">ticalities of carrying out true </w:t>
      </w:r>
      <w:r w:rsidR="00BC2E1E" w:rsidRPr="00CB20EB">
        <w:rPr>
          <w:rFonts w:ascii="Arial" w:hAnsi="Arial" w:cs="Arial"/>
          <w:sz w:val="24"/>
          <w:szCs w:val="24"/>
        </w:rPr>
        <w:t xml:space="preserve">comparison in a timely manner. </w:t>
      </w:r>
      <w:r w:rsidR="00AA23B3">
        <w:rPr>
          <w:rFonts w:ascii="Arial" w:hAnsi="Arial" w:cs="Arial"/>
          <w:sz w:val="24"/>
          <w:szCs w:val="24"/>
        </w:rPr>
        <w:t xml:space="preserve"> </w:t>
      </w:r>
      <w:r w:rsidR="00BC2E1E" w:rsidRPr="00CB20EB">
        <w:rPr>
          <w:rFonts w:ascii="Arial" w:hAnsi="Arial" w:cs="Arial"/>
          <w:sz w:val="24"/>
          <w:szCs w:val="24"/>
        </w:rPr>
        <w:t>As final accounts aren’t published until at least 3 months after the end of the financial year, any comparison to follow would inevitably be based on historical information.</w:t>
      </w:r>
    </w:p>
    <w:p w:rsidR="00AA23B3" w:rsidRPr="00CB20EB" w:rsidRDefault="00AA23B3" w:rsidP="00C77FAB">
      <w:pPr>
        <w:spacing w:after="0" w:line="240" w:lineRule="auto"/>
        <w:ind w:left="360"/>
        <w:rPr>
          <w:rFonts w:ascii="Arial" w:hAnsi="Arial" w:cs="Arial"/>
          <w:sz w:val="24"/>
          <w:szCs w:val="24"/>
        </w:rPr>
      </w:pPr>
    </w:p>
    <w:p w:rsidR="00874DC2" w:rsidRPr="00CB20EB" w:rsidRDefault="00BC2E1E" w:rsidP="00C77FAB">
      <w:pPr>
        <w:spacing w:after="0" w:line="240" w:lineRule="auto"/>
        <w:ind w:left="360"/>
        <w:rPr>
          <w:rFonts w:ascii="Arial" w:hAnsi="Arial" w:cs="Arial"/>
          <w:b/>
          <w:i/>
          <w:sz w:val="24"/>
          <w:szCs w:val="24"/>
        </w:rPr>
      </w:pPr>
      <w:r w:rsidRPr="00CB20EB">
        <w:rPr>
          <w:rFonts w:ascii="Arial" w:hAnsi="Arial" w:cs="Arial"/>
          <w:sz w:val="24"/>
          <w:szCs w:val="24"/>
        </w:rPr>
        <w:t>There was also discussion around the c</w:t>
      </w:r>
      <w:r w:rsidR="003D00F4">
        <w:rPr>
          <w:rFonts w:ascii="Arial" w:hAnsi="Arial" w:cs="Arial"/>
          <w:sz w:val="24"/>
          <w:szCs w:val="24"/>
        </w:rPr>
        <w:t>oncentration of VFM within the f</w:t>
      </w:r>
      <w:r w:rsidRPr="00CB20EB">
        <w:rPr>
          <w:rFonts w:ascii="Arial" w:hAnsi="Arial" w:cs="Arial"/>
          <w:sz w:val="24"/>
          <w:szCs w:val="24"/>
        </w:rPr>
        <w:t>inance function. Housing providers are encouraged to ensure that VFM is integrated throughout the organisation and it is felt that by concentrating the formal reporting against financial metrics, work will be required to ensure that all parts of the organisation remain involved.</w:t>
      </w:r>
    </w:p>
    <w:p w:rsidR="007671D6" w:rsidRDefault="007671D6" w:rsidP="00C77FAB">
      <w:pPr>
        <w:spacing w:after="0" w:line="240" w:lineRule="auto"/>
        <w:ind w:left="360"/>
        <w:rPr>
          <w:rFonts w:ascii="Arial" w:hAnsi="Arial" w:cs="Arial"/>
          <w:b/>
          <w:i/>
          <w:sz w:val="24"/>
          <w:szCs w:val="24"/>
        </w:rPr>
      </w:pPr>
    </w:p>
    <w:p w:rsidR="00820E31" w:rsidRDefault="00C802E9" w:rsidP="00C77FAB">
      <w:pPr>
        <w:spacing w:after="0" w:line="240" w:lineRule="auto"/>
        <w:ind w:left="360"/>
        <w:rPr>
          <w:rFonts w:ascii="Arial" w:hAnsi="Arial" w:cs="Arial"/>
          <w:b/>
          <w:i/>
          <w:sz w:val="24"/>
          <w:szCs w:val="24"/>
        </w:rPr>
      </w:pPr>
      <w:r w:rsidRPr="00CB20EB">
        <w:rPr>
          <w:rFonts w:ascii="Arial" w:hAnsi="Arial" w:cs="Arial"/>
          <w:b/>
          <w:i/>
          <w:sz w:val="24"/>
          <w:szCs w:val="24"/>
        </w:rPr>
        <w:t>Clear link between the strategic objectives of the business and the delivery of VFM in achieving them, with the Board to be central in accountability around VFM</w:t>
      </w:r>
    </w:p>
    <w:p w:rsidR="00526BB1" w:rsidRDefault="00BC2E1E" w:rsidP="00C77FAB">
      <w:pPr>
        <w:spacing w:after="0" w:line="240" w:lineRule="auto"/>
        <w:ind w:left="360"/>
        <w:rPr>
          <w:rFonts w:ascii="Arial" w:eastAsia="+mn-ea" w:hAnsi="Arial" w:cs="Arial"/>
          <w:i/>
          <w:iCs/>
          <w:color w:val="000000"/>
          <w:kern w:val="24"/>
          <w:sz w:val="24"/>
          <w:szCs w:val="24"/>
          <w:lang w:eastAsia="en-GB"/>
        </w:rPr>
      </w:pPr>
      <w:r w:rsidRPr="00CB20EB">
        <w:rPr>
          <w:rFonts w:ascii="Arial" w:hAnsi="Arial" w:cs="Arial"/>
          <w:sz w:val="24"/>
          <w:szCs w:val="24"/>
        </w:rPr>
        <w:lastRenderedPageBreak/>
        <w:t xml:space="preserve">The proposed standard makes the clear link between strategic objectives and VFM and places the onus on the Board to be clearly accountable. It is expected that VFM is built in to all plans in place to achieve strategic objectives </w:t>
      </w:r>
      <w:r w:rsidR="003A3FCE" w:rsidRPr="00CB20EB">
        <w:rPr>
          <w:rFonts w:ascii="Arial" w:hAnsi="Arial" w:cs="Arial"/>
          <w:sz w:val="24"/>
          <w:szCs w:val="24"/>
        </w:rPr>
        <w:t xml:space="preserve">and that this can be demonstrated with evidence to the regulator. </w:t>
      </w:r>
      <w:r w:rsidR="00FA6BC8" w:rsidRPr="00CB20EB">
        <w:rPr>
          <w:rFonts w:ascii="Arial" w:hAnsi="Arial" w:cs="Arial"/>
          <w:sz w:val="24"/>
          <w:szCs w:val="24"/>
        </w:rPr>
        <w:t>Providers</w:t>
      </w:r>
      <w:r w:rsidR="003A3FCE" w:rsidRPr="00CB20EB">
        <w:rPr>
          <w:rFonts w:ascii="Arial" w:hAnsi="Arial" w:cs="Arial"/>
          <w:sz w:val="24"/>
          <w:szCs w:val="24"/>
        </w:rPr>
        <w:t xml:space="preserve"> will be expected to </w:t>
      </w:r>
      <w:r w:rsidR="00FA6BC8" w:rsidRPr="00CB20EB">
        <w:rPr>
          <w:rFonts w:ascii="Arial" w:hAnsi="Arial" w:cs="Arial"/>
          <w:sz w:val="24"/>
          <w:szCs w:val="24"/>
        </w:rPr>
        <w:t xml:space="preserve">demonstrate </w:t>
      </w:r>
      <w:r w:rsidR="00FA6BC8" w:rsidRPr="00CB20EB">
        <w:rPr>
          <w:rFonts w:ascii="Arial" w:eastAsia="+mn-ea" w:hAnsi="Arial" w:cs="Arial"/>
          <w:color w:val="000000"/>
          <w:kern w:val="24"/>
          <w:sz w:val="24"/>
          <w:szCs w:val="24"/>
          <w:lang w:eastAsia="en-GB"/>
        </w:rPr>
        <w:t>“</w:t>
      </w:r>
      <w:r w:rsidR="00526BB1" w:rsidRPr="00CB20EB">
        <w:rPr>
          <w:rFonts w:ascii="Arial" w:eastAsia="+mn-ea" w:hAnsi="Arial" w:cs="Arial"/>
          <w:i/>
          <w:iCs/>
          <w:color w:val="000000"/>
          <w:kern w:val="24"/>
          <w:sz w:val="24"/>
          <w:szCs w:val="24"/>
          <w:lang w:eastAsia="en-GB"/>
        </w:rPr>
        <w:t>a strong focus on how value for money is to be achieved in meeting the organisation’s objectives”</w:t>
      </w:r>
      <w:r w:rsidR="00804480" w:rsidRPr="00CB20EB">
        <w:rPr>
          <w:rFonts w:ascii="Arial" w:eastAsia="+mn-ea" w:hAnsi="Arial" w:cs="Arial"/>
          <w:i/>
          <w:iCs/>
          <w:color w:val="000000"/>
          <w:kern w:val="24"/>
          <w:sz w:val="24"/>
          <w:szCs w:val="24"/>
          <w:lang w:eastAsia="en-GB"/>
        </w:rPr>
        <w:t>.</w:t>
      </w:r>
    </w:p>
    <w:p w:rsidR="00AA23B3" w:rsidRPr="00CB20EB" w:rsidRDefault="00AA23B3" w:rsidP="00C77FAB">
      <w:pPr>
        <w:spacing w:after="0" w:line="240" w:lineRule="auto"/>
        <w:ind w:left="360"/>
        <w:rPr>
          <w:rFonts w:ascii="Arial" w:eastAsia="+mn-ea" w:hAnsi="Arial" w:cs="Arial"/>
          <w:i/>
          <w:iCs/>
          <w:color w:val="000000"/>
          <w:kern w:val="24"/>
          <w:sz w:val="24"/>
          <w:szCs w:val="24"/>
          <w:lang w:eastAsia="en-GB"/>
        </w:rPr>
      </w:pPr>
    </w:p>
    <w:p w:rsidR="00804480" w:rsidRDefault="00804480" w:rsidP="00C77FAB">
      <w:pPr>
        <w:spacing w:after="0" w:line="240" w:lineRule="auto"/>
        <w:ind w:left="360"/>
        <w:rPr>
          <w:rFonts w:ascii="Arial" w:eastAsia="+mn-ea" w:hAnsi="Arial" w:cs="Arial"/>
          <w:iCs/>
          <w:color w:val="000000"/>
          <w:kern w:val="24"/>
          <w:sz w:val="24"/>
          <w:szCs w:val="24"/>
          <w:lang w:eastAsia="en-GB"/>
        </w:rPr>
      </w:pPr>
      <w:r w:rsidRPr="00CB20EB">
        <w:rPr>
          <w:rFonts w:ascii="Arial" w:eastAsia="+mn-ea" w:hAnsi="Arial" w:cs="Arial"/>
          <w:iCs/>
          <w:color w:val="000000"/>
          <w:kern w:val="24"/>
          <w:sz w:val="24"/>
          <w:szCs w:val="24"/>
          <w:lang w:eastAsia="en-GB"/>
        </w:rPr>
        <w:t>The overall aim is to improve Board accountability around VFM. To quote the consultation document</w:t>
      </w:r>
      <w:r w:rsidR="007671D6">
        <w:rPr>
          <w:rFonts w:ascii="Arial" w:eastAsia="+mn-ea" w:hAnsi="Arial" w:cs="Arial"/>
          <w:iCs/>
          <w:color w:val="000000"/>
          <w:kern w:val="24"/>
          <w:sz w:val="24"/>
          <w:szCs w:val="24"/>
          <w:lang w:eastAsia="en-GB"/>
        </w:rPr>
        <w:t>:</w:t>
      </w:r>
    </w:p>
    <w:p w:rsidR="00AA23B3" w:rsidRPr="00CB20EB" w:rsidRDefault="00AA23B3" w:rsidP="00C77FAB">
      <w:pPr>
        <w:spacing w:after="0" w:line="240" w:lineRule="auto"/>
        <w:ind w:left="360"/>
        <w:rPr>
          <w:rFonts w:ascii="Arial" w:eastAsia="+mn-ea" w:hAnsi="Arial" w:cs="Arial"/>
          <w:iCs/>
          <w:color w:val="000000"/>
          <w:kern w:val="24"/>
          <w:sz w:val="24"/>
          <w:szCs w:val="24"/>
          <w:lang w:eastAsia="en-GB"/>
        </w:rPr>
      </w:pPr>
    </w:p>
    <w:p w:rsidR="00526BB1" w:rsidRPr="00CB20EB" w:rsidRDefault="00526BB1" w:rsidP="00C77FAB">
      <w:pPr>
        <w:spacing w:after="0" w:line="240" w:lineRule="auto"/>
        <w:ind w:left="360"/>
        <w:rPr>
          <w:rFonts w:ascii="Arial" w:eastAsia="+mn-ea" w:hAnsi="Arial" w:cs="Arial"/>
          <w:i/>
          <w:iCs/>
          <w:color w:val="000000"/>
          <w:kern w:val="24"/>
          <w:sz w:val="24"/>
          <w:szCs w:val="24"/>
          <w:lang w:eastAsia="en-GB"/>
        </w:rPr>
      </w:pPr>
      <w:r w:rsidRPr="00CB20EB">
        <w:rPr>
          <w:rFonts w:ascii="Arial" w:eastAsia="+mn-ea" w:hAnsi="Arial" w:cs="Arial"/>
          <w:i/>
          <w:iCs/>
          <w:color w:val="000000"/>
          <w:kern w:val="24"/>
          <w:sz w:val="24"/>
          <w:szCs w:val="24"/>
          <w:lang w:eastAsia="en-GB"/>
        </w:rPr>
        <w:t>“The proposals set out …would strengthen requirements for board accountability and enhance transparency through a focused, outcome-based approach to measuring and reporting both value for money gains and areas for improvement”</w:t>
      </w:r>
    </w:p>
    <w:p w:rsidR="007671D6" w:rsidRDefault="007671D6" w:rsidP="00C77FAB">
      <w:pPr>
        <w:spacing w:after="0" w:line="240" w:lineRule="auto"/>
        <w:ind w:left="360"/>
        <w:rPr>
          <w:rFonts w:ascii="Arial" w:eastAsia="+mn-ea" w:hAnsi="Arial" w:cs="Arial"/>
          <w:iCs/>
          <w:color w:val="000000"/>
          <w:kern w:val="24"/>
          <w:sz w:val="24"/>
          <w:szCs w:val="24"/>
          <w:lang w:eastAsia="en-GB"/>
        </w:rPr>
      </w:pPr>
    </w:p>
    <w:p w:rsidR="00804480" w:rsidRDefault="00F94D4A" w:rsidP="00C77FAB">
      <w:pPr>
        <w:spacing w:after="0" w:line="240" w:lineRule="auto"/>
        <w:ind w:left="360"/>
        <w:rPr>
          <w:rFonts w:ascii="Arial" w:eastAsia="+mn-ea" w:hAnsi="Arial" w:cs="Arial"/>
          <w:iCs/>
          <w:color w:val="000000"/>
          <w:kern w:val="24"/>
          <w:sz w:val="24"/>
          <w:szCs w:val="24"/>
          <w:lang w:eastAsia="en-GB"/>
        </w:rPr>
      </w:pPr>
      <w:r w:rsidRPr="00CB20EB">
        <w:rPr>
          <w:rFonts w:ascii="Arial" w:eastAsia="+mn-ea" w:hAnsi="Arial" w:cs="Arial"/>
          <w:iCs/>
          <w:color w:val="000000"/>
          <w:kern w:val="24"/>
          <w:sz w:val="24"/>
          <w:szCs w:val="24"/>
          <w:lang w:eastAsia="en-GB"/>
        </w:rPr>
        <w:t xml:space="preserve">This </w:t>
      </w:r>
      <w:r w:rsidR="00FA6BC8" w:rsidRPr="00CB20EB">
        <w:rPr>
          <w:rFonts w:ascii="Arial" w:eastAsia="+mn-ea" w:hAnsi="Arial" w:cs="Arial"/>
          <w:iCs/>
          <w:color w:val="000000"/>
          <w:kern w:val="24"/>
          <w:sz w:val="24"/>
          <w:szCs w:val="24"/>
          <w:lang w:eastAsia="en-GB"/>
        </w:rPr>
        <w:t>links to</w:t>
      </w:r>
      <w:r w:rsidRPr="00CB20EB">
        <w:rPr>
          <w:rFonts w:ascii="Arial" w:eastAsia="+mn-ea" w:hAnsi="Arial" w:cs="Arial"/>
          <w:iCs/>
          <w:color w:val="000000"/>
          <w:kern w:val="24"/>
          <w:sz w:val="24"/>
          <w:szCs w:val="24"/>
          <w:lang w:eastAsia="en-GB"/>
        </w:rPr>
        <w:t xml:space="preserve"> HCA judgements on Governance and Viability, which will be affected by the organisation</w:t>
      </w:r>
      <w:r w:rsidR="00FA6BC8" w:rsidRPr="00CB20EB">
        <w:rPr>
          <w:rFonts w:ascii="Arial" w:eastAsia="+mn-ea" w:hAnsi="Arial" w:cs="Arial"/>
          <w:iCs/>
          <w:color w:val="000000"/>
          <w:kern w:val="24"/>
          <w:sz w:val="24"/>
          <w:szCs w:val="24"/>
          <w:lang w:eastAsia="en-GB"/>
        </w:rPr>
        <w:t>’s</w:t>
      </w:r>
      <w:r w:rsidRPr="00CB20EB">
        <w:rPr>
          <w:rFonts w:ascii="Arial" w:eastAsia="+mn-ea" w:hAnsi="Arial" w:cs="Arial"/>
          <w:iCs/>
          <w:color w:val="000000"/>
          <w:kern w:val="24"/>
          <w:sz w:val="24"/>
          <w:szCs w:val="24"/>
          <w:lang w:eastAsia="en-GB"/>
        </w:rPr>
        <w:t xml:space="preserve"> ability to evidence VFM in meeting objectives.</w:t>
      </w:r>
    </w:p>
    <w:p w:rsidR="00AA23B3" w:rsidRPr="00CB20EB" w:rsidRDefault="00AA23B3" w:rsidP="00C77FAB">
      <w:pPr>
        <w:spacing w:after="0" w:line="240" w:lineRule="auto"/>
        <w:ind w:left="360"/>
        <w:rPr>
          <w:rFonts w:ascii="Arial" w:eastAsia="+mn-ea" w:hAnsi="Arial" w:cs="Arial"/>
          <w:iCs/>
          <w:color w:val="000000"/>
          <w:kern w:val="24"/>
          <w:sz w:val="24"/>
          <w:szCs w:val="24"/>
          <w:lang w:eastAsia="en-GB"/>
        </w:rPr>
      </w:pPr>
    </w:p>
    <w:p w:rsidR="00F94D4A" w:rsidRDefault="00F94D4A" w:rsidP="00C77FAB">
      <w:pPr>
        <w:spacing w:after="0" w:line="240" w:lineRule="auto"/>
        <w:ind w:left="360"/>
        <w:rPr>
          <w:rFonts w:ascii="Arial" w:eastAsia="+mn-ea" w:hAnsi="Arial" w:cs="Arial"/>
          <w:iCs/>
          <w:color w:val="000000"/>
          <w:kern w:val="24"/>
          <w:sz w:val="24"/>
          <w:szCs w:val="24"/>
          <w:lang w:eastAsia="en-GB"/>
        </w:rPr>
      </w:pPr>
      <w:r w:rsidRPr="00CB20EB">
        <w:rPr>
          <w:rFonts w:ascii="Arial" w:eastAsia="+mn-ea" w:hAnsi="Arial" w:cs="Arial"/>
          <w:iCs/>
          <w:color w:val="000000"/>
          <w:kern w:val="24"/>
          <w:sz w:val="24"/>
          <w:szCs w:val="24"/>
          <w:lang w:eastAsia="en-GB"/>
        </w:rPr>
        <w:t xml:space="preserve">Members felt that board accountability on VFM had improved in recent years and that this was an extension of </w:t>
      </w:r>
      <w:r w:rsidR="00FA6BC8" w:rsidRPr="00CB20EB">
        <w:rPr>
          <w:rFonts w:ascii="Arial" w:eastAsia="+mn-ea" w:hAnsi="Arial" w:cs="Arial"/>
          <w:iCs/>
          <w:color w:val="000000"/>
          <w:kern w:val="24"/>
          <w:sz w:val="24"/>
          <w:szCs w:val="24"/>
          <w:lang w:eastAsia="en-GB"/>
        </w:rPr>
        <w:t>on-going</w:t>
      </w:r>
      <w:r w:rsidRPr="00CB20EB">
        <w:rPr>
          <w:rFonts w:ascii="Arial" w:eastAsia="+mn-ea" w:hAnsi="Arial" w:cs="Arial"/>
          <w:iCs/>
          <w:color w:val="000000"/>
          <w:kern w:val="24"/>
          <w:sz w:val="24"/>
          <w:szCs w:val="24"/>
          <w:lang w:eastAsia="en-GB"/>
        </w:rPr>
        <w:t xml:space="preserve"> work. Many report VFM considerations within existing board reporting with VFM champions and Board members with specific responsibilities on VFM in </w:t>
      </w:r>
      <w:r w:rsidR="00FA6BC8" w:rsidRPr="00CB20EB">
        <w:rPr>
          <w:rFonts w:ascii="Arial" w:eastAsia="+mn-ea" w:hAnsi="Arial" w:cs="Arial"/>
          <w:iCs/>
          <w:color w:val="000000"/>
          <w:kern w:val="24"/>
          <w:sz w:val="24"/>
          <w:szCs w:val="24"/>
          <w:lang w:eastAsia="en-GB"/>
        </w:rPr>
        <w:t>place</w:t>
      </w:r>
      <w:r w:rsidR="0051078F" w:rsidRPr="00CB20EB">
        <w:rPr>
          <w:rFonts w:ascii="Arial" w:eastAsia="+mn-ea" w:hAnsi="Arial" w:cs="Arial"/>
          <w:iCs/>
          <w:color w:val="000000"/>
          <w:kern w:val="24"/>
          <w:sz w:val="24"/>
          <w:szCs w:val="24"/>
          <w:lang w:eastAsia="en-GB"/>
        </w:rPr>
        <w:t>.</w:t>
      </w:r>
    </w:p>
    <w:p w:rsidR="00AA23B3" w:rsidRPr="00CB20EB" w:rsidRDefault="00AA23B3" w:rsidP="00C77FAB">
      <w:pPr>
        <w:spacing w:after="0" w:line="240" w:lineRule="auto"/>
        <w:ind w:left="360"/>
        <w:rPr>
          <w:rFonts w:ascii="Arial" w:eastAsia="Times New Roman" w:hAnsi="Arial" w:cs="Arial"/>
          <w:sz w:val="24"/>
          <w:szCs w:val="24"/>
          <w:lang w:eastAsia="en-GB"/>
        </w:rPr>
      </w:pPr>
    </w:p>
    <w:p w:rsidR="00C802E9" w:rsidRDefault="00526BB1" w:rsidP="00C77FAB">
      <w:pPr>
        <w:spacing w:after="0" w:line="240" w:lineRule="auto"/>
        <w:ind w:left="360"/>
        <w:rPr>
          <w:rFonts w:ascii="Arial" w:hAnsi="Arial" w:cs="Arial"/>
          <w:b/>
          <w:i/>
          <w:sz w:val="24"/>
          <w:szCs w:val="24"/>
        </w:rPr>
      </w:pPr>
      <w:r w:rsidRPr="00CB20EB">
        <w:rPr>
          <w:rFonts w:ascii="Arial" w:hAnsi="Arial" w:cs="Arial"/>
          <w:b/>
          <w:i/>
          <w:sz w:val="24"/>
          <w:szCs w:val="24"/>
        </w:rPr>
        <w:t>Stated links between VFM and delivering more homes</w:t>
      </w:r>
    </w:p>
    <w:p w:rsidR="00AA23B3" w:rsidRPr="00CB20EB" w:rsidRDefault="00AA23B3" w:rsidP="00C77FAB">
      <w:pPr>
        <w:spacing w:after="0" w:line="240" w:lineRule="auto"/>
        <w:ind w:left="360"/>
        <w:rPr>
          <w:rFonts w:ascii="Arial" w:hAnsi="Arial" w:cs="Arial"/>
          <w:b/>
          <w:i/>
          <w:sz w:val="24"/>
          <w:szCs w:val="24"/>
        </w:rPr>
      </w:pPr>
    </w:p>
    <w:p w:rsidR="00F94D4A" w:rsidRDefault="00F94D4A" w:rsidP="00C77FAB">
      <w:pPr>
        <w:spacing w:after="0" w:line="240" w:lineRule="auto"/>
        <w:ind w:left="360"/>
        <w:rPr>
          <w:rFonts w:ascii="Arial" w:hAnsi="Arial" w:cs="Arial"/>
          <w:sz w:val="24"/>
          <w:szCs w:val="24"/>
        </w:rPr>
      </w:pPr>
      <w:r w:rsidRPr="00CB20EB">
        <w:rPr>
          <w:rFonts w:ascii="Arial" w:hAnsi="Arial" w:cs="Arial"/>
          <w:sz w:val="24"/>
          <w:szCs w:val="24"/>
        </w:rPr>
        <w:t>From the first sentence in the foreword, it was recognised that the HCA is keen to point to the link between VFM and enabling providers to deliver more homes</w:t>
      </w:r>
      <w:r w:rsidR="0078630C" w:rsidRPr="00CB20EB">
        <w:rPr>
          <w:rFonts w:ascii="Arial" w:hAnsi="Arial" w:cs="Arial"/>
          <w:sz w:val="24"/>
          <w:szCs w:val="24"/>
        </w:rPr>
        <w:t>, improvements to the existing housing stock and better services to tenants.</w:t>
      </w:r>
    </w:p>
    <w:p w:rsidR="003D00F4" w:rsidRPr="00CB20EB" w:rsidRDefault="003D00F4" w:rsidP="00C77FAB">
      <w:pPr>
        <w:spacing w:after="0" w:line="240" w:lineRule="auto"/>
        <w:ind w:left="360"/>
        <w:rPr>
          <w:rFonts w:ascii="Arial" w:hAnsi="Arial" w:cs="Arial"/>
          <w:sz w:val="24"/>
          <w:szCs w:val="24"/>
        </w:rPr>
      </w:pPr>
    </w:p>
    <w:p w:rsidR="00F94D4A" w:rsidRDefault="0078630C" w:rsidP="00C77FAB">
      <w:pPr>
        <w:spacing w:after="0" w:line="240" w:lineRule="auto"/>
        <w:ind w:left="360"/>
        <w:rPr>
          <w:rFonts w:ascii="Arial" w:hAnsi="Arial" w:cs="Arial"/>
          <w:sz w:val="24"/>
          <w:szCs w:val="24"/>
        </w:rPr>
      </w:pPr>
      <w:r w:rsidRPr="00CB20EB">
        <w:rPr>
          <w:rFonts w:ascii="Arial" w:hAnsi="Arial" w:cs="Arial"/>
          <w:sz w:val="24"/>
          <w:szCs w:val="24"/>
        </w:rPr>
        <w:t>It is c</w:t>
      </w:r>
      <w:r w:rsidR="00F94D4A" w:rsidRPr="00CB20EB">
        <w:rPr>
          <w:rFonts w:ascii="Arial" w:hAnsi="Arial" w:cs="Arial"/>
          <w:sz w:val="24"/>
          <w:szCs w:val="24"/>
        </w:rPr>
        <w:t>lear that this remain</w:t>
      </w:r>
      <w:r w:rsidRPr="00CB20EB">
        <w:rPr>
          <w:rFonts w:ascii="Arial" w:hAnsi="Arial" w:cs="Arial"/>
          <w:sz w:val="24"/>
          <w:szCs w:val="24"/>
        </w:rPr>
        <w:t>s</w:t>
      </w:r>
      <w:r w:rsidR="00F94D4A" w:rsidRPr="00CB20EB">
        <w:rPr>
          <w:rFonts w:ascii="Arial" w:hAnsi="Arial" w:cs="Arial"/>
          <w:sz w:val="24"/>
          <w:szCs w:val="24"/>
        </w:rPr>
        <w:t xml:space="preserve"> a key driver for Government and VFM now exactly aligned to that overarching aim</w:t>
      </w:r>
      <w:r w:rsidRPr="00CB20EB">
        <w:rPr>
          <w:rFonts w:ascii="Arial" w:hAnsi="Arial" w:cs="Arial"/>
          <w:sz w:val="24"/>
          <w:szCs w:val="24"/>
        </w:rPr>
        <w:t>. Essentially, provide better VFM to allow organisations the capacity to build more homes.</w:t>
      </w:r>
    </w:p>
    <w:p w:rsidR="00AA23B3" w:rsidRPr="00CB20EB" w:rsidRDefault="00AA23B3" w:rsidP="00C77FAB">
      <w:pPr>
        <w:spacing w:after="0" w:line="240" w:lineRule="auto"/>
        <w:ind w:left="360"/>
        <w:rPr>
          <w:rFonts w:ascii="Arial" w:hAnsi="Arial" w:cs="Arial"/>
          <w:sz w:val="24"/>
          <w:szCs w:val="24"/>
        </w:rPr>
      </w:pPr>
    </w:p>
    <w:p w:rsidR="0051078F" w:rsidRDefault="0051078F" w:rsidP="00C77FAB">
      <w:pPr>
        <w:spacing w:after="0" w:line="240" w:lineRule="auto"/>
        <w:ind w:left="360"/>
        <w:rPr>
          <w:rFonts w:ascii="Arial" w:hAnsi="Arial" w:cs="Arial"/>
          <w:b/>
          <w:i/>
          <w:sz w:val="24"/>
          <w:szCs w:val="24"/>
        </w:rPr>
      </w:pPr>
      <w:r w:rsidRPr="00CB20EB">
        <w:rPr>
          <w:rFonts w:ascii="Arial" w:hAnsi="Arial" w:cs="Arial"/>
          <w:b/>
          <w:i/>
          <w:sz w:val="24"/>
          <w:szCs w:val="24"/>
        </w:rPr>
        <w:t>VFM and In-Depth Assessment (IDA)</w:t>
      </w:r>
    </w:p>
    <w:p w:rsidR="00AA23B3" w:rsidRPr="00CB20EB" w:rsidRDefault="00AA23B3" w:rsidP="00C77FAB">
      <w:pPr>
        <w:spacing w:after="0" w:line="240" w:lineRule="auto"/>
        <w:ind w:left="360"/>
        <w:rPr>
          <w:rFonts w:ascii="Arial" w:hAnsi="Arial" w:cs="Arial"/>
          <w:b/>
          <w:i/>
          <w:sz w:val="24"/>
          <w:szCs w:val="24"/>
        </w:rPr>
      </w:pPr>
    </w:p>
    <w:p w:rsidR="0051078F" w:rsidRDefault="0051078F" w:rsidP="00C77FAB">
      <w:pPr>
        <w:spacing w:after="0" w:line="240" w:lineRule="auto"/>
        <w:ind w:left="360"/>
        <w:rPr>
          <w:rFonts w:ascii="Arial" w:hAnsi="Arial" w:cs="Arial"/>
          <w:sz w:val="24"/>
          <w:szCs w:val="24"/>
        </w:rPr>
      </w:pPr>
      <w:r w:rsidRPr="00CB20EB">
        <w:rPr>
          <w:rFonts w:ascii="Arial" w:hAnsi="Arial" w:cs="Arial"/>
          <w:sz w:val="24"/>
          <w:szCs w:val="24"/>
        </w:rPr>
        <w:t xml:space="preserve">NHC members would welcome further information on the links between the revised standard and how it will feature in IDA carried out by the regulator. We understand the expectation on internal </w:t>
      </w:r>
      <w:r w:rsidR="00A0170D" w:rsidRPr="00CB20EB">
        <w:rPr>
          <w:rFonts w:ascii="Arial" w:hAnsi="Arial" w:cs="Arial"/>
          <w:sz w:val="24"/>
          <w:szCs w:val="24"/>
        </w:rPr>
        <w:t>metrics being</w:t>
      </w:r>
      <w:r w:rsidRPr="00CB20EB">
        <w:rPr>
          <w:rFonts w:ascii="Arial" w:hAnsi="Arial" w:cs="Arial"/>
          <w:sz w:val="24"/>
          <w:szCs w:val="24"/>
        </w:rPr>
        <w:t xml:space="preserve"> used in additional to the financial metrics outlined, but members will be interested in any further guidance or learning from IDAs.</w:t>
      </w:r>
    </w:p>
    <w:p w:rsidR="00AA23B3" w:rsidRPr="00CB20EB" w:rsidRDefault="00AA23B3" w:rsidP="00C77FAB">
      <w:pPr>
        <w:spacing w:after="0" w:line="240" w:lineRule="auto"/>
        <w:ind w:left="360"/>
        <w:rPr>
          <w:rFonts w:ascii="Arial" w:hAnsi="Arial" w:cs="Arial"/>
          <w:sz w:val="24"/>
          <w:szCs w:val="24"/>
        </w:rPr>
      </w:pPr>
    </w:p>
    <w:p w:rsidR="0078630C" w:rsidRPr="00CB20EB" w:rsidRDefault="0078630C" w:rsidP="00C77FAB">
      <w:pPr>
        <w:spacing w:after="0" w:line="240" w:lineRule="auto"/>
        <w:ind w:left="360"/>
        <w:rPr>
          <w:rFonts w:ascii="Arial" w:hAnsi="Arial" w:cs="Arial"/>
          <w:b/>
          <w:sz w:val="24"/>
          <w:szCs w:val="24"/>
          <w:u w:val="single"/>
        </w:rPr>
      </w:pPr>
      <w:r w:rsidRPr="00CB20EB">
        <w:rPr>
          <w:rFonts w:ascii="Arial" w:hAnsi="Arial" w:cs="Arial"/>
          <w:b/>
          <w:sz w:val="24"/>
          <w:szCs w:val="24"/>
          <w:u w:val="single"/>
        </w:rPr>
        <w:t>Consultation questions</w:t>
      </w:r>
    </w:p>
    <w:p w:rsidR="0078630C" w:rsidRDefault="0078630C" w:rsidP="00C77FAB">
      <w:pPr>
        <w:spacing w:after="0" w:line="240" w:lineRule="auto"/>
        <w:ind w:left="360"/>
        <w:rPr>
          <w:rFonts w:ascii="Arial" w:hAnsi="Arial" w:cs="Arial"/>
          <w:sz w:val="24"/>
          <w:szCs w:val="24"/>
        </w:rPr>
      </w:pPr>
      <w:r w:rsidRPr="00CB20EB">
        <w:rPr>
          <w:rFonts w:ascii="Arial" w:hAnsi="Arial" w:cs="Arial"/>
          <w:sz w:val="24"/>
          <w:szCs w:val="24"/>
        </w:rPr>
        <w:t xml:space="preserve">The consultation seeks a response to 10 specific questions. The </w:t>
      </w:r>
      <w:r w:rsidR="00FA6BC8" w:rsidRPr="00CB20EB">
        <w:rPr>
          <w:rFonts w:ascii="Arial" w:hAnsi="Arial" w:cs="Arial"/>
          <w:sz w:val="24"/>
          <w:szCs w:val="24"/>
        </w:rPr>
        <w:t>general</w:t>
      </w:r>
      <w:r w:rsidRPr="00CB20EB">
        <w:rPr>
          <w:rFonts w:ascii="Arial" w:hAnsi="Arial" w:cs="Arial"/>
          <w:sz w:val="24"/>
          <w:szCs w:val="24"/>
        </w:rPr>
        <w:t xml:space="preserve"> </w:t>
      </w:r>
      <w:r w:rsidR="00FA6BC8" w:rsidRPr="00CB20EB">
        <w:rPr>
          <w:rFonts w:ascii="Arial" w:hAnsi="Arial" w:cs="Arial"/>
          <w:sz w:val="24"/>
          <w:szCs w:val="24"/>
        </w:rPr>
        <w:t>consensus</w:t>
      </w:r>
      <w:r w:rsidRPr="00CB20EB">
        <w:rPr>
          <w:rFonts w:ascii="Arial" w:hAnsi="Arial" w:cs="Arial"/>
          <w:sz w:val="24"/>
          <w:szCs w:val="24"/>
        </w:rPr>
        <w:t xml:space="preserve"> around the questions </w:t>
      </w:r>
      <w:r w:rsidR="00A0170D" w:rsidRPr="00CB20EB">
        <w:rPr>
          <w:rFonts w:ascii="Arial" w:hAnsi="Arial" w:cs="Arial"/>
          <w:sz w:val="24"/>
          <w:szCs w:val="24"/>
        </w:rPr>
        <w:t xml:space="preserve">amongst members </w:t>
      </w:r>
      <w:r w:rsidRPr="00CB20EB">
        <w:rPr>
          <w:rFonts w:ascii="Arial" w:hAnsi="Arial" w:cs="Arial"/>
          <w:sz w:val="24"/>
          <w:szCs w:val="24"/>
        </w:rPr>
        <w:t xml:space="preserve">was that they were designed to provide a positive response, with many of statements in the questions difficult to disagree with. The specific questions and a summary of the discussions </w:t>
      </w:r>
      <w:r w:rsidR="00FA6BC8" w:rsidRPr="00CB20EB">
        <w:rPr>
          <w:rFonts w:ascii="Arial" w:hAnsi="Arial" w:cs="Arial"/>
          <w:sz w:val="24"/>
          <w:szCs w:val="24"/>
        </w:rPr>
        <w:t>are</w:t>
      </w:r>
      <w:r w:rsidRPr="00CB20EB">
        <w:rPr>
          <w:rFonts w:ascii="Arial" w:hAnsi="Arial" w:cs="Arial"/>
          <w:sz w:val="24"/>
          <w:szCs w:val="24"/>
        </w:rPr>
        <w:t xml:space="preserve"> as follows:</w:t>
      </w:r>
    </w:p>
    <w:p w:rsidR="00AA23B3" w:rsidRPr="00CB20EB" w:rsidRDefault="00AA23B3" w:rsidP="00C77FAB">
      <w:pPr>
        <w:spacing w:after="0" w:line="240" w:lineRule="auto"/>
        <w:ind w:left="360"/>
        <w:rPr>
          <w:rFonts w:ascii="Arial" w:hAnsi="Arial" w:cs="Arial"/>
          <w:sz w:val="24"/>
          <w:szCs w:val="24"/>
        </w:rPr>
      </w:pPr>
    </w:p>
    <w:p w:rsidR="009660EF" w:rsidRPr="00CB20EB"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Do you agree with the objectives for the proposed Value for Money Standard?</w:t>
      </w:r>
    </w:p>
    <w:p w:rsidR="003D00F4" w:rsidRDefault="003D00F4" w:rsidP="00C77FAB">
      <w:pPr>
        <w:spacing w:after="0" w:line="240" w:lineRule="auto"/>
        <w:ind w:left="360"/>
        <w:rPr>
          <w:rFonts w:ascii="Arial" w:hAnsi="Arial" w:cs="Arial"/>
          <w:sz w:val="24"/>
          <w:szCs w:val="24"/>
        </w:rPr>
      </w:pPr>
    </w:p>
    <w:p w:rsidR="009660EF" w:rsidRDefault="009660EF" w:rsidP="00C77FAB">
      <w:pPr>
        <w:spacing w:after="0" w:line="240" w:lineRule="auto"/>
        <w:ind w:left="360"/>
        <w:rPr>
          <w:rFonts w:ascii="Arial" w:hAnsi="Arial" w:cs="Arial"/>
          <w:sz w:val="24"/>
          <w:szCs w:val="24"/>
        </w:rPr>
      </w:pPr>
      <w:r w:rsidRPr="00CB20EB">
        <w:rPr>
          <w:rFonts w:ascii="Arial" w:hAnsi="Arial" w:cs="Arial"/>
          <w:sz w:val="24"/>
          <w:szCs w:val="24"/>
        </w:rPr>
        <w:t>The discussions here were more about the pre-supposition that VFM is not already</w:t>
      </w:r>
      <w:r w:rsidR="0043590B" w:rsidRPr="00CB20EB">
        <w:rPr>
          <w:rFonts w:ascii="Arial" w:hAnsi="Arial" w:cs="Arial"/>
          <w:sz w:val="24"/>
          <w:szCs w:val="24"/>
        </w:rPr>
        <w:t xml:space="preserve"> a key consideration. Members were keen to stress that work had been </w:t>
      </w:r>
      <w:r w:rsidR="00FA6BC8" w:rsidRPr="00CB20EB">
        <w:rPr>
          <w:rFonts w:ascii="Arial" w:hAnsi="Arial" w:cs="Arial"/>
          <w:sz w:val="24"/>
          <w:szCs w:val="24"/>
        </w:rPr>
        <w:t>on-going</w:t>
      </w:r>
      <w:r w:rsidR="0043590B" w:rsidRPr="00CB20EB">
        <w:rPr>
          <w:rFonts w:ascii="Arial" w:hAnsi="Arial" w:cs="Arial"/>
          <w:sz w:val="24"/>
          <w:szCs w:val="24"/>
        </w:rPr>
        <w:t>, both before and after the cut in rents. The re</w:t>
      </w:r>
      <w:r w:rsidR="007F73C2" w:rsidRPr="00CB20EB">
        <w:rPr>
          <w:rFonts w:ascii="Arial" w:hAnsi="Arial" w:cs="Arial"/>
          <w:sz w:val="24"/>
          <w:szCs w:val="24"/>
        </w:rPr>
        <w:t>s</w:t>
      </w:r>
      <w:r w:rsidR="0043590B" w:rsidRPr="00CB20EB">
        <w:rPr>
          <w:rFonts w:ascii="Arial" w:hAnsi="Arial" w:cs="Arial"/>
          <w:sz w:val="24"/>
          <w:szCs w:val="24"/>
        </w:rPr>
        <w:t>po</w:t>
      </w:r>
      <w:r w:rsidR="007F73C2" w:rsidRPr="00CB20EB">
        <w:rPr>
          <w:rFonts w:ascii="Arial" w:hAnsi="Arial" w:cs="Arial"/>
          <w:sz w:val="24"/>
          <w:szCs w:val="24"/>
        </w:rPr>
        <w:t>n</w:t>
      </w:r>
      <w:r w:rsidR="0043590B" w:rsidRPr="00CB20EB">
        <w:rPr>
          <w:rFonts w:ascii="Arial" w:hAnsi="Arial" w:cs="Arial"/>
          <w:sz w:val="24"/>
          <w:szCs w:val="24"/>
        </w:rPr>
        <w:t xml:space="preserve">se is, therefore, that we agree with the objectives, but want to draw attention to previous and </w:t>
      </w:r>
      <w:r w:rsidR="00FA6BC8" w:rsidRPr="00CB20EB">
        <w:rPr>
          <w:rFonts w:ascii="Arial" w:hAnsi="Arial" w:cs="Arial"/>
          <w:sz w:val="24"/>
          <w:szCs w:val="24"/>
        </w:rPr>
        <w:t>on-going</w:t>
      </w:r>
      <w:r w:rsidR="0043590B" w:rsidRPr="00CB20EB">
        <w:rPr>
          <w:rFonts w:ascii="Arial" w:hAnsi="Arial" w:cs="Arial"/>
          <w:sz w:val="24"/>
          <w:szCs w:val="24"/>
        </w:rPr>
        <w:t xml:space="preserve"> work</w:t>
      </w:r>
      <w:r w:rsidR="007671D6">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lastRenderedPageBreak/>
        <w:t>Do you agree that the focus on boards ensuring that delivering value for money is an integral part of running their business would support a more strategic outcome -focused approach?</w:t>
      </w:r>
    </w:p>
    <w:p w:rsidR="00AA23B3" w:rsidRPr="00CB20EB" w:rsidRDefault="00AA23B3" w:rsidP="00AA23B3">
      <w:pPr>
        <w:pStyle w:val="ListParagraph"/>
        <w:spacing w:after="0" w:line="240" w:lineRule="auto"/>
        <w:rPr>
          <w:rFonts w:ascii="Arial" w:hAnsi="Arial" w:cs="Arial"/>
          <w:i/>
          <w:sz w:val="24"/>
          <w:szCs w:val="24"/>
        </w:rPr>
      </w:pPr>
    </w:p>
    <w:p w:rsidR="007F73C2" w:rsidRDefault="007F73C2" w:rsidP="00C77FAB">
      <w:pPr>
        <w:spacing w:after="0" w:line="240" w:lineRule="auto"/>
        <w:ind w:left="360"/>
        <w:rPr>
          <w:rFonts w:ascii="Arial" w:hAnsi="Arial" w:cs="Arial"/>
          <w:sz w:val="24"/>
          <w:szCs w:val="24"/>
        </w:rPr>
      </w:pPr>
      <w:r w:rsidRPr="00CB20EB">
        <w:rPr>
          <w:rFonts w:ascii="Arial" w:hAnsi="Arial" w:cs="Arial"/>
          <w:sz w:val="24"/>
          <w:szCs w:val="24"/>
        </w:rPr>
        <w:t xml:space="preserve">There is an enhancement of the focus on Boards to deliver VFM and the HCA has </w:t>
      </w:r>
      <w:r w:rsidR="00FA6BC8" w:rsidRPr="00CB20EB">
        <w:rPr>
          <w:rFonts w:ascii="Arial" w:hAnsi="Arial" w:cs="Arial"/>
          <w:sz w:val="24"/>
          <w:szCs w:val="24"/>
        </w:rPr>
        <w:t>delivered</w:t>
      </w:r>
      <w:r w:rsidRPr="00CB20EB">
        <w:rPr>
          <w:rFonts w:ascii="Arial" w:hAnsi="Arial" w:cs="Arial"/>
          <w:sz w:val="24"/>
          <w:szCs w:val="24"/>
        </w:rPr>
        <w:t xml:space="preserve"> an unambiguous </w:t>
      </w:r>
      <w:r w:rsidR="00FA6BC8" w:rsidRPr="00CB20EB">
        <w:rPr>
          <w:rFonts w:ascii="Arial" w:hAnsi="Arial" w:cs="Arial"/>
          <w:sz w:val="24"/>
          <w:szCs w:val="24"/>
        </w:rPr>
        <w:t>message</w:t>
      </w:r>
      <w:r w:rsidRPr="00CB20EB">
        <w:rPr>
          <w:rFonts w:ascii="Arial" w:hAnsi="Arial" w:cs="Arial"/>
          <w:sz w:val="24"/>
          <w:szCs w:val="24"/>
        </w:rPr>
        <w:t xml:space="preserve">. However, where a Group structure operates, further clarification is required around the extent to which unregistered </w:t>
      </w:r>
      <w:r w:rsidR="00FA6BC8" w:rsidRPr="00CB20EB">
        <w:rPr>
          <w:rFonts w:ascii="Arial" w:hAnsi="Arial" w:cs="Arial"/>
          <w:sz w:val="24"/>
          <w:szCs w:val="24"/>
        </w:rPr>
        <w:t>subsidiaries</w:t>
      </w:r>
      <w:r w:rsidRPr="00CB20EB">
        <w:rPr>
          <w:rFonts w:ascii="Arial" w:hAnsi="Arial" w:cs="Arial"/>
          <w:sz w:val="24"/>
          <w:szCs w:val="24"/>
        </w:rPr>
        <w:t xml:space="preserve"> are to be included. </w:t>
      </w:r>
    </w:p>
    <w:p w:rsidR="00AA23B3" w:rsidRPr="00CB20EB" w:rsidRDefault="00AA23B3" w:rsidP="00AA23B3">
      <w:pPr>
        <w:spacing w:after="0" w:line="240" w:lineRule="auto"/>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Do you agree that registered providers should seek to maximise the financial return from their resources and assets in so far as that is consistent with the achievement of the organisation’s wider organisational purposes?</w:t>
      </w:r>
    </w:p>
    <w:p w:rsidR="00AA23B3" w:rsidRPr="00CB20EB" w:rsidRDefault="00AA23B3" w:rsidP="00AA23B3">
      <w:pPr>
        <w:pStyle w:val="ListParagraph"/>
        <w:spacing w:after="0" w:line="240" w:lineRule="auto"/>
        <w:rPr>
          <w:rFonts w:ascii="Arial" w:hAnsi="Arial" w:cs="Arial"/>
          <w:i/>
          <w:sz w:val="24"/>
          <w:szCs w:val="24"/>
        </w:rPr>
      </w:pPr>
    </w:p>
    <w:p w:rsidR="00EA6CA0" w:rsidRDefault="00EA6CA0" w:rsidP="00C77FAB">
      <w:pPr>
        <w:spacing w:after="0" w:line="240" w:lineRule="auto"/>
        <w:ind w:left="360"/>
        <w:rPr>
          <w:rFonts w:ascii="Arial" w:hAnsi="Arial" w:cs="Arial"/>
          <w:sz w:val="24"/>
          <w:szCs w:val="24"/>
        </w:rPr>
      </w:pPr>
      <w:r w:rsidRPr="00CB20EB">
        <w:rPr>
          <w:rFonts w:ascii="Arial" w:hAnsi="Arial" w:cs="Arial"/>
          <w:sz w:val="24"/>
          <w:szCs w:val="24"/>
        </w:rPr>
        <w:t>Again, the statement is difficult to disagree with. Members did raise the question of the social value that their organisations provide, and also where the wider organisational purpose is not necessarily to maximise financial return.</w:t>
      </w:r>
    </w:p>
    <w:p w:rsidR="00AA23B3" w:rsidRPr="00CB20EB" w:rsidRDefault="00AA23B3" w:rsidP="00C77FAB">
      <w:pPr>
        <w:spacing w:after="0" w:line="240" w:lineRule="auto"/>
        <w:ind w:left="360"/>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 xml:space="preserve">Do you agree that boards should consider the full range of operational and strategic issues in delivering value for money? </w:t>
      </w:r>
    </w:p>
    <w:p w:rsidR="00AA23B3" w:rsidRPr="00CB20EB" w:rsidRDefault="00AA23B3" w:rsidP="00AA23B3">
      <w:pPr>
        <w:pStyle w:val="ListParagraph"/>
        <w:spacing w:after="0" w:line="240" w:lineRule="auto"/>
        <w:rPr>
          <w:rFonts w:ascii="Arial" w:hAnsi="Arial" w:cs="Arial"/>
          <w:i/>
          <w:sz w:val="24"/>
          <w:szCs w:val="24"/>
        </w:rPr>
      </w:pPr>
    </w:p>
    <w:p w:rsidR="00EA6CA0" w:rsidRDefault="00EA6CA0" w:rsidP="00C77FAB">
      <w:pPr>
        <w:spacing w:after="0" w:line="240" w:lineRule="auto"/>
        <w:ind w:left="360"/>
        <w:rPr>
          <w:rFonts w:ascii="Arial" w:hAnsi="Arial" w:cs="Arial"/>
          <w:sz w:val="24"/>
          <w:szCs w:val="24"/>
        </w:rPr>
      </w:pPr>
      <w:r w:rsidRPr="00CB20EB">
        <w:rPr>
          <w:rFonts w:ascii="Arial" w:hAnsi="Arial" w:cs="Arial"/>
          <w:sz w:val="24"/>
          <w:szCs w:val="24"/>
        </w:rPr>
        <w:t xml:space="preserve">The phrase “full range of operational….” was a cause for debate. Many members felt that the Board should be aware of key operational issues, with some exception reporting included against pressure points, but the terminology used in the question suggests full and detailed reporting against operations. This seems to contradict the stated aim of linking strategic </w:t>
      </w:r>
      <w:r w:rsidR="00FA6BC8" w:rsidRPr="00CB20EB">
        <w:rPr>
          <w:rFonts w:ascii="Arial" w:hAnsi="Arial" w:cs="Arial"/>
          <w:sz w:val="24"/>
          <w:szCs w:val="24"/>
        </w:rPr>
        <w:t>objectives</w:t>
      </w:r>
      <w:r w:rsidRPr="00CB20EB">
        <w:rPr>
          <w:rFonts w:ascii="Arial" w:hAnsi="Arial" w:cs="Arial"/>
          <w:sz w:val="24"/>
          <w:szCs w:val="24"/>
        </w:rPr>
        <w:t xml:space="preserve"> and VFM</w:t>
      </w:r>
      <w:r w:rsidR="009660EF" w:rsidRPr="00CB20EB">
        <w:rPr>
          <w:rFonts w:ascii="Arial" w:hAnsi="Arial" w:cs="Arial"/>
          <w:sz w:val="24"/>
          <w:szCs w:val="24"/>
        </w:rPr>
        <w:t>.</w:t>
      </w:r>
    </w:p>
    <w:p w:rsidR="00AA23B3" w:rsidRPr="00CB20EB" w:rsidRDefault="00AA23B3" w:rsidP="00C77FAB">
      <w:pPr>
        <w:spacing w:after="0" w:line="240" w:lineRule="auto"/>
        <w:ind w:left="360"/>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 xml:space="preserve">Do you think the Code helps registered providers understand how compliance with the requirement to ‘undertake a rigorous appraisal of potential options for improving performance’ could be achieved? </w:t>
      </w:r>
    </w:p>
    <w:p w:rsidR="00AA23B3" w:rsidRPr="00CB20EB" w:rsidRDefault="00AA23B3" w:rsidP="00AA23B3">
      <w:pPr>
        <w:pStyle w:val="ListParagraph"/>
        <w:spacing w:after="0" w:line="240" w:lineRule="auto"/>
        <w:rPr>
          <w:rFonts w:ascii="Arial" w:hAnsi="Arial" w:cs="Arial"/>
          <w:i/>
          <w:sz w:val="24"/>
          <w:szCs w:val="24"/>
        </w:rPr>
      </w:pPr>
    </w:p>
    <w:p w:rsidR="00EA6CA0" w:rsidRDefault="00EA6CA0" w:rsidP="00C77FAB">
      <w:pPr>
        <w:spacing w:after="0" w:line="240" w:lineRule="auto"/>
        <w:ind w:left="360"/>
        <w:rPr>
          <w:rFonts w:ascii="Arial" w:hAnsi="Arial" w:cs="Arial"/>
          <w:sz w:val="24"/>
          <w:szCs w:val="24"/>
        </w:rPr>
      </w:pPr>
      <w:r w:rsidRPr="00CB20EB">
        <w:rPr>
          <w:rFonts w:ascii="Arial" w:hAnsi="Arial" w:cs="Arial"/>
          <w:sz w:val="24"/>
          <w:szCs w:val="24"/>
        </w:rPr>
        <w:t>The Code provides some indicators about compliance with the appraisal of options. However, members felt that the ‘rigorous appraisal’ suggested would be dependent on the issue under consideration. There was also some discussion as to whether the underlying aim was to encourage more mergers within the sector.</w:t>
      </w:r>
    </w:p>
    <w:p w:rsidR="00AA23B3" w:rsidRPr="00CB20EB" w:rsidRDefault="00AA23B3" w:rsidP="00C77FAB">
      <w:pPr>
        <w:spacing w:after="0" w:line="240" w:lineRule="auto"/>
        <w:ind w:left="360"/>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 xml:space="preserve">Do you agree with the move away from wide-ranging narrative self-assessments in the current Standard towards a specific metrics – and targets-based approach? </w:t>
      </w:r>
    </w:p>
    <w:p w:rsidR="00AA23B3" w:rsidRPr="00CB20EB" w:rsidRDefault="00AA23B3" w:rsidP="00AA23B3">
      <w:pPr>
        <w:pStyle w:val="ListParagraph"/>
        <w:spacing w:after="0" w:line="240" w:lineRule="auto"/>
        <w:rPr>
          <w:rFonts w:ascii="Arial" w:hAnsi="Arial" w:cs="Arial"/>
          <w:i/>
          <w:sz w:val="24"/>
          <w:szCs w:val="24"/>
        </w:rPr>
      </w:pPr>
    </w:p>
    <w:p w:rsidR="00933590" w:rsidRDefault="00933590" w:rsidP="00C77FAB">
      <w:pPr>
        <w:spacing w:after="0" w:line="240" w:lineRule="auto"/>
        <w:ind w:left="360"/>
        <w:rPr>
          <w:rFonts w:ascii="Arial" w:hAnsi="Arial" w:cs="Arial"/>
          <w:sz w:val="24"/>
          <w:szCs w:val="24"/>
        </w:rPr>
      </w:pPr>
      <w:r w:rsidRPr="00CB20EB">
        <w:rPr>
          <w:rFonts w:ascii="Arial" w:hAnsi="Arial" w:cs="Arial"/>
          <w:sz w:val="24"/>
          <w:szCs w:val="24"/>
        </w:rPr>
        <w:t>Members agreed with the fact that there is an administrative burden attached to the self-assessment document. However, many felt that the document provides the opportunity to give more context and explanation than a simple metrics based approach. Most members will produce an internal self-assessment anyway, though will not necessarily include in the report to the accounts as metrics will be included.</w:t>
      </w:r>
    </w:p>
    <w:p w:rsidR="00AA23B3" w:rsidRPr="00CB20EB" w:rsidRDefault="00AA23B3" w:rsidP="00C77FAB">
      <w:pPr>
        <w:spacing w:after="0" w:line="240" w:lineRule="auto"/>
        <w:ind w:left="360"/>
        <w:rPr>
          <w:rFonts w:ascii="Arial" w:hAnsi="Arial" w:cs="Arial"/>
          <w:sz w:val="24"/>
          <w:szCs w:val="24"/>
        </w:rPr>
      </w:pPr>
    </w:p>
    <w:p w:rsidR="009660EF" w:rsidRPr="00CB20EB" w:rsidRDefault="009660EF" w:rsidP="00C77FAB">
      <w:pPr>
        <w:pStyle w:val="ListParagraph"/>
        <w:numPr>
          <w:ilvl w:val="0"/>
          <w:numId w:val="4"/>
        </w:numPr>
        <w:spacing w:after="0" w:line="240" w:lineRule="auto"/>
        <w:rPr>
          <w:rFonts w:ascii="Arial" w:hAnsi="Arial" w:cs="Arial"/>
          <w:sz w:val="24"/>
          <w:szCs w:val="24"/>
        </w:rPr>
      </w:pPr>
      <w:r w:rsidRPr="00CB20EB">
        <w:rPr>
          <w:rFonts w:ascii="Arial" w:hAnsi="Arial" w:cs="Arial"/>
          <w:i/>
          <w:sz w:val="24"/>
          <w:szCs w:val="24"/>
        </w:rPr>
        <w:t>Do you agree that a targets-based approach in measuring performance will help to deliver value for money?</w:t>
      </w:r>
      <w:r w:rsidRPr="00CB20EB">
        <w:rPr>
          <w:rFonts w:ascii="Arial" w:hAnsi="Arial" w:cs="Arial"/>
          <w:sz w:val="24"/>
          <w:szCs w:val="24"/>
        </w:rPr>
        <w:t xml:space="preserve"> </w:t>
      </w:r>
    </w:p>
    <w:p w:rsidR="007671D6" w:rsidRDefault="007671D6" w:rsidP="00C77FAB">
      <w:pPr>
        <w:spacing w:after="0" w:line="240" w:lineRule="auto"/>
        <w:ind w:left="360"/>
        <w:rPr>
          <w:rFonts w:ascii="Arial" w:hAnsi="Arial" w:cs="Arial"/>
          <w:sz w:val="24"/>
          <w:szCs w:val="24"/>
        </w:rPr>
      </w:pPr>
    </w:p>
    <w:p w:rsidR="00286015" w:rsidRDefault="00933590" w:rsidP="00C77FAB">
      <w:pPr>
        <w:spacing w:after="0" w:line="240" w:lineRule="auto"/>
        <w:ind w:left="360"/>
        <w:rPr>
          <w:rFonts w:ascii="Arial" w:hAnsi="Arial" w:cs="Arial"/>
          <w:sz w:val="24"/>
          <w:szCs w:val="24"/>
        </w:rPr>
      </w:pPr>
      <w:r w:rsidRPr="00CB20EB">
        <w:rPr>
          <w:rFonts w:ascii="Arial" w:hAnsi="Arial" w:cs="Arial"/>
          <w:sz w:val="24"/>
          <w:szCs w:val="24"/>
        </w:rPr>
        <w:t>A targets-based approach in itself will not help to deliver value for money. It is felt that a targets-based approach is a useful tool for comparison, but it would depend on measures to be used and</w:t>
      </w:r>
      <w:r w:rsidR="00286015" w:rsidRPr="00CB20EB">
        <w:rPr>
          <w:rFonts w:ascii="Arial" w:hAnsi="Arial" w:cs="Arial"/>
          <w:sz w:val="24"/>
          <w:szCs w:val="24"/>
        </w:rPr>
        <w:t xml:space="preserve"> who measuring against. The consultation is not clear on benchmarking, talking about comparison with peers, but also highlighting year on year comparison internally.</w:t>
      </w:r>
    </w:p>
    <w:p w:rsidR="00AA23B3" w:rsidRPr="00CB20EB" w:rsidRDefault="00AA23B3" w:rsidP="00C77FAB">
      <w:pPr>
        <w:spacing w:after="0" w:line="240" w:lineRule="auto"/>
        <w:ind w:left="360"/>
        <w:rPr>
          <w:rFonts w:ascii="Arial" w:hAnsi="Arial" w:cs="Arial"/>
          <w:i/>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Do you agree that the requirement to report on value for money in the accounts would increase board focus on value for money as well as drive transparency, consistency and comparability for stakeholders?</w:t>
      </w:r>
    </w:p>
    <w:p w:rsidR="00AA23B3" w:rsidRPr="00CB20EB" w:rsidRDefault="00AA23B3" w:rsidP="00AA23B3">
      <w:pPr>
        <w:pStyle w:val="ListParagraph"/>
        <w:spacing w:after="0" w:line="240" w:lineRule="auto"/>
        <w:rPr>
          <w:rFonts w:ascii="Arial" w:hAnsi="Arial" w:cs="Arial"/>
          <w:i/>
          <w:sz w:val="24"/>
          <w:szCs w:val="24"/>
        </w:rPr>
      </w:pPr>
    </w:p>
    <w:p w:rsidR="00286015" w:rsidRPr="00CB20EB" w:rsidRDefault="00286015" w:rsidP="00C77FAB">
      <w:pPr>
        <w:spacing w:after="0" w:line="240" w:lineRule="auto"/>
        <w:ind w:left="360"/>
        <w:rPr>
          <w:rFonts w:ascii="Arial" w:hAnsi="Arial" w:cs="Arial"/>
          <w:sz w:val="24"/>
          <w:szCs w:val="24"/>
        </w:rPr>
      </w:pPr>
      <w:r w:rsidRPr="00CB20EB">
        <w:rPr>
          <w:rFonts w:ascii="Arial" w:hAnsi="Arial" w:cs="Arial"/>
          <w:sz w:val="24"/>
          <w:szCs w:val="24"/>
        </w:rPr>
        <w:t>There was a view from some members that VFM gets lost in the accounts, with increasing requirements from financial and auditory point of view leading to a growing financial report to the accounts - “can’t see the wood for the trees”.</w:t>
      </w:r>
    </w:p>
    <w:p w:rsidR="00286015" w:rsidRDefault="00286015" w:rsidP="00C77FAB">
      <w:pPr>
        <w:spacing w:after="0" w:line="240" w:lineRule="auto"/>
        <w:ind w:left="360"/>
        <w:rPr>
          <w:rFonts w:ascii="Arial" w:hAnsi="Arial" w:cs="Arial"/>
          <w:sz w:val="24"/>
          <w:szCs w:val="24"/>
        </w:rPr>
      </w:pPr>
      <w:r w:rsidRPr="00CB20EB">
        <w:rPr>
          <w:rFonts w:ascii="Arial" w:hAnsi="Arial" w:cs="Arial"/>
          <w:sz w:val="24"/>
          <w:szCs w:val="24"/>
        </w:rPr>
        <w:t>It should increase Board focus; for other stakeholders, it depends on the stakeholders. For funders and institutions, the requirement should help with transparency, consistency and stakeholders.</w:t>
      </w:r>
    </w:p>
    <w:p w:rsidR="00AA23B3" w:rsidRPr="00CB20EB" w:rsidRDefault="00AA23B3" w:rsidP="00C77FAB">
      <w:pPr>
        <w:spacing w:after="0" w:line="240" w:lineRule="auto"/>
        <w:ind w:left="360"/>
        <w:rPr>
          <w:rFonts w:ascii="Arial" w:hAnsi="Arial" w:cs="Arial"/>
          <w:sz w:val="24"/>
          <w:szCs w:val="24"/>
        </w:rPr>
      </w:pPr>
    </w:p>
    <w:p w:rsidR="00286015" w:rsidRDefault="00286015" w:rsidP="00C77FAB">
      <w:pPr>
        <w:spacing w:after="0" w:line="240" w:lineRule="auto"/>
        <w:ind w:left="360"/>
        <w:rPr>
          <w:rFonts w:ascii="Arial" w:hAnsi="Arial" w:cs="Arial"/>
          <w:sz w:val="24"/>
          <w:szCs w:val="24"/>
        </w:rPr>
      </w:pPr>
      <w:r w:rsidRPr="00CB20EB">
        <w:rPr>
          <w:rFonts w:ascii="Arial" w:hAnsi="Arial" w:cs="Arial"/>
          <w:sz w:val="24"/>
          <w:szCs w:val="24"/>
        </w:rPr>
        <w:t>It was not felt that this would particularly provide information for tenants. VFM for tenants is reported differently (essentially how is the rent spent) and there is not an obvious link to tenants and indeed consumer standards within the consultation.</w:t>
      </w:r>
    </w:p>
    <w:p w:rsidR="00AA23B3" w:rsidRPr="00CB20EB" w:rsidRDefault="00AA23B3" w:rsidP="00C77FAB">
      <w:pPr>
        <w:spacing w:after="0" w:line="240" w:lineRule="auto"/>
        <w:ind w:left="360"/>
        <w:rPr>
          <w:rFonts w:ascii="Arial" w:hAnsi="Arial" w:cs="Arial"/>
          <w:sz w:val="24"/>
          <w:szCs w:val="24"/>
        </w:rPr>
      </w:pPr>
    </w:p>
    <w:p w:rsidR="009660EF"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Do you think the proposed Code achieves its aim of amplifying the requirements in the Standard, helping registered providers understand how the requirements in the Standard could be met?</w:t>
      </w:r>
    </w:p>
    <w:p w:rsidR="00AA23B3" w:rsidRPr="00CB20EB" w:rsidRDefault="00AA23B3" w:rsidP="00AA23B3">
      <w:pPr>
        <w:pStyle w:val="ListParagraph"/>
        <w:spacing w:after="0" w:line="240" w:lineRule="auto"/>
        <w:rPr>
          <w:rFonts w:ascii="Arial" w:hAnsi="Arial" w:cs="Arial"/>
          <w:i/>
          <w:sz w:val="24"/>
          <w:szCs w:val="24"/>
        </w:rPr>
      </w:pPr>
    </w:p>
    <w:p w:rsidR="00FA6BC8" w:rsidRDefault="00FA6BC8" w:rsidP="00C77FAB">
      <w:pPr>
        <w:spacing w:after="0" w:line="240" w:lineRule="auto"/>
        <w:ind w:left="360"/>
        <w:rPr>
          <w:rFonts w:ascii="Arial" w:hAnsi="Arial" w:cs="Arial"/>
          <w:sz w:val="24"/>
          <w:szCs w:val="24"/>
        </w:rPr>
      </w:pPr>
      <w:r w:rsidRPr="00CB20EB">
        <w:rPr>
          <w:rFonts w:ascii="Arial" w:hAnsi="Arial" w:cs="Arial"/>
          <w:sz w:val="24"/>
          <w:szCs w:val="24"/>
        </w:rPr>
        <w:t>The Code is a useful addition. Whilst not overly prescriptive, it does give housing providers more depth and understanding on what requirements are. It is hoped that this is the first step and could evolve over time.</w:t>
      </w:r>
    </w:p>
    <w:p w:rsidR="00AA23B3" w:rsidRPr="00CB20EB" w:rsidRDefault="00AA23B3" w:rsidP="00C77FAB">
      <w:pPr>
        <w:spacing w:after="0" w:line="240" w:lineRule="auto"/>
        <w:ind w:left="360"/>
        <w:rPr>
          <w:rFonts w:ascii="Arial" w:hAnsi="Arial" w:cs="Arial"/>
          <w:sz w:val="24"/>
          <w:szCs w:val="24"/>
        </w:rPr>
      </w:pPr>
    </w:p>
    <w:p w:rsidR="0078630C" w:rsidRDefault="009660EF" w:rsidP="00C77FAB">
      <w:pPr>
        <w:pStyle w:val="ListParagraph"/>
        <w:numPr>
          <w:ilvl w:val="0"/>
          <w:numId w:val="4"/>
        </w:numPr>
        <w:spacing w:after="0" w:line="240" w:lineRule="auto"/>
        <w:rPr>
          <w:rFonts w:ascii="Arial" w:hAnsi="Arial" w:cs="Arial"/>
          <w:i/>
          <w:sz w:val="24"/>
          <w:szCs w:val="24"/>
        </w:rPr>
      </w:pPr>
      <w:r w:rsidRPr="00CB20EB">
        <w:rPr>
          <w:rFonts w:ascii="Arial" w:hAnsi="Arial" w:cs="Arial"/>
          <w:i/>
          <w:sz w:val="24"/>
          <w:szCs w:val="24"/>
        </w:rPr>
        <w:t>Do you have any comments on our business engagement assessment including in relation to equality and diversity?</w:t>
      </w:r>
    </w:p>
    <w:p w:rsidR="00AA23B3" w:rsidRPr="00CB20EB" w:rsidRDefault="00AA23B3" w:rsidP="00AA23B3">
      <w:pPr>
        <w:pStyle w:val="ListParagraph"/>
        <w:spacing w:after="0" w:line="240" w:lineRule="auto"/>
        <w:rPr>
          <w:rFonts w:ascii="Arial" w:hAnsi="Arial" w:cs="Arial"/>
          <w:i/>
          <w:sz w:val="24"/>
          <w:szCs w:val="24"/>
        </w:rPr>
      </w:pPr>
    </w:p>
    <w:p w:rsidR="00FA6BC8" w:rsidRDefault="00FA6BC8" w:rsidP="00C77FAB">
      <w:pPr>
        <w:spacing w:after="0" w:line="240" w:lineRule="auto"/>
        <w:ind w:left="360"/>
        <w:rPr>
          <w:rFonts w:ascii="Arial" w:hAnsi="Arial" w:cs="Arial"/>
          <w:sz w:val="24"/>
          <w:szCs w:val="24"/>
        </w:rPr>
      </w:pPr>
      <w:r w:rsidRPr="00CB20EB">
        <w:rPr>
          <w:rFonts w:ascii="Arial" w:hAnsi="Arial" w:cs="Arial"/>
          <w:sz w:val="24"/>
          <w:szCs w:val="24"/>
        </w:rPr>
        <w:t>No real comments from the group. It reads like a mandatory question asked in all Government consultations.</w:t>
      </w:r>
    </w:p>
    <w:p w:rsidR="00AA23B3" w:rsidRPr="00CB20EB" w:rsidRDefault="00AA23B3" w:rsidP="00C77FAB">
      <w:pPr>
        <w:spacing w:after="0" w:line="240" w:lineRule="auto"/>
        <w:ind w:left="360"/>
        <w:rPr>
          <w:rFonts w:ascii="Arial" w:hAnsi="Arial" w:cs="Arial"/>
          <w:sz w:val="24"/>
          <w:szCs w:val="24"/>
        </w:rPr>
      </w:pPr>
    </w:p>
    <w:p w:rsidR="00FA6BC8" w:rsidRPr="00CB20EB" w:rsidRDefault="00FA6BC8" w:rsidP="00C77FAB">
      <w:pPr>
        <w:spacing w:after="0" w:line="240" w:lineRule="auto"/>
        <w:ind w:left="360"/>
        <w:rPr>
          <w:rFonts w:ascii="Arial" w:hAnsi="Arial" w:cs="Arial"/>
          <w:b/>
          <w:sz w:val="24"/>
          <w:szCs w:val="24"/>
          <w:u w:val="single"/>
        </w:rPr>
      </w:pPr>
      <w:r w:rsidRPr="00CB20EB">
        <w:rPr>
          <w:rFonts w:ascii="Arial" w:hAnsi="Arial" w:cs="Arial"/>
          <w:b/>
          <w:sz w:val="24"/>
          <w:szCs w:val="24"/>
          <w:u w:val="single"/>
        </w:rPr>
        <w:t>Next Steps</w:t>
      </w:r>
    </w:p>
    <w:p w:rsidR="007671D6" w:rsidRDefault="007671D6" w:rsidP="00C77FAB">
      <w:pPr>
        <w:spacing w:after="0" w:line="240" w:lineRule="auto"/>
        <w:ind w:left="360"/>
        <w:rPr>
          <w:rFonts w:ascii="Arial" w:hAnsi="Arial" w:cs="Arial"/>
          <w:sz w:val="24"/>
          <w:szCs w:val="24"/>
        </w:rPr>
      </w:pPr>
    </w:p>
    <w:p w:rsidR="000C7AE0" w:rsidRDefault="00506B7E" w:rsidP="00C77FAB">
      <w:pPr>
        <w:spacing w:after="0" w:line="240" w:lineRule="auto"/>
        <w:ind w:left="360"/>
        <w:rPr>
          <w:rFonts w:ascii="Arial" w:hAnsi="Arial" w:cs="Arial"/>
          <w:sz w:val="24"/>
          <w:szCs w:val="24"/>
        </w:rPr>
      </w:pPr>
      <w:r w:rsidRPr="00CB20EB">
        <w:rPr>
          <w:rFonts w:ascii="Arial" w:hAnsi="Arial" w:cs="Arial"/>
          <w:sz w:val="24"/>
          <w:szCs w:val="24"/>
        </w:rPr>
        <w:t>We look forward to the</w:t>
      </w:r>
      <w:r w:rsidR="007671D6">
        <w:rPr>
          <w:rFonts w:ascii="Arial" w:hAnsi="Arial" w:cs="Arial"/>
          <w:sz w:val="24"/>
          <w:szCs w:val="24"/>
        </w:rPr>
        <w:t xml:space="preserve"> publication of the</w:t>
      </w:r>
      <w:r w:rsidRPr="00CB20EB">
        <w:rPr>
          <w:rFonts w:ascii="Arial" w:hAnsi="Arial" w:cs="Arial"/>
          <w:sz w:val="24"/>
          <w:szCs w:val="24"/>
        </w:rPr>
        <w:t xml:space="preserve"> final standard following the consultation. </w:t>
      </w:r>
      <w:r w:rsidR="000C7AE0" w:rsidRPr="00CB20EB">
        <w:rPr>
          <w:rFonts w:ascii="Arial" w:hAnsi="Arial" w:cs="Arial"/>
          <w:sz w:val="24"/>
          <w:szCs w:val="24"/>
        </w:rPr>
        <w:t xml:space="preserve">NHC will reconvene </w:t>
      </w:r>
      <w:r w:rsidRPr="00CB20EB">
        <w:rPr>
          <w:rFonts w:ascii="Arial" w:hAnsi="Arial" w:cs="Arial"/>
          <w:sz w:val="24"/>
          <w:szCs w:val="24"/>
        </w:rPr>
        <w:t>groups of members following the issue of the standard</w:t>
      </w:r>
      <w:r w:rsidR="000C7AE0" w:rsidRPr="00CB20EB">
        <w:rPr>
          <w:rFonts w:ascii="Arial" w:hAnsi="Arial" w:cs="Arial"/>
          <w:sz w:val="24"/>
          <w:szCs w:val="24"/>
        </w:rPr>
        <w:t xml:space="preserve"> to discuss implementation of the standard</w:t>
      </w:r>
      <w:r w:rsidR="0051078F" w:rsidRPr="00CB20EB">
        <w:rPr>
          <w:rFonts w:ascii="Arial" w:hAnsi="Arial" w:cs="Arial"/>
          <w:sz w:val="24"/>
          <w:szCs w:val="24"/>
        </w:rPr>
        <w:t>, the timescales involved</w:t>
      </w:r>
      <w:r w:rsidR="000C7AE0" w:rsidRPr="00CB20EB">
        <w:rPr>
          <w:rFonts w:ascii="Arial" w:hAnsi="Arial" w:cs="Arial"/>
          <w:sz w:val="24"/>
          <w:szCs w:val="24"/>
        </w:rPr>
        <w:t xml:space="preserve"> and any other regulatory issues</w:t>
      </w:r>
      <w:r w:rsidR="0051078F" w:rsidRPr="00CB20EB">
        <w:rPr>
          <w:rFonts w:ascii="Arial" w:hAnsi="Arial" w:cs="Arial"/>
          <w:sz w:val="24"/>
          <w:szCs w:val="24"/>
        </w:rPr>
        <w:t xml:space="preserve">. </w:t>
      </w:r>
      <w:r w:rsidR="007671D6">
        <w:rPr>
          <w:rFonts w:ascii="Arial" w:hAnsi="Arial" w:cs="Arial"/>
          <w:sz w:val="24"/>
          <w:szCs w:val="24"/>
        </w:rPr>
        <w:t xml:space="preserve"> </w:t>
      </w:r>
      <w:r w:rsidR="0051078F" w:rsidRPr="00CB20EB">
        <w:rPr>
          <w:rFonts w:ascii="Arial" w:hAnsi="Arial" w:cs="Arial"/>
          <w:sz w:val="24"/>
          <w:szCs w:val="24"/>
        </w:rPr>
        <w:t xml:space="preserve">We would welcome any contribution from HCA at these sessions and will liaise with HCA colleagues to consider the best way to do this. </w:t>
      </w:r>
    </w:p>
    <w:p w:rsidR="00AA23B3" w:rsidRPr="00CB20EB" w:rsidRDefault="00AA23B3" w:rsidP="00C77FAB">
      <w:pPr>
        <w:spacing w:after="0" w:line="240" w:lineRule="auto"/>
        <w:ind w:left="360"/>
        <w:rPr>
          <w:rFonts w:ascii="Arial" w:hAnsi="Arial" w:cs="Arial"/>
          <w:sz w:val="24"/>
          <w:szCs w:val="24"/>
        </w:rPr>
      </w:pPr>
    </w:p>
    <w:p w:rsidR="00445B33" w:rsidRPr="00AA23B3" w:rsidRDefault="00445B33" w:rsidP="00C77FAB">
      <w:pPr>
        <w:spacing w:after="0" w:line="240" w:lineRule="auto"/>
        <w:rPr>
          <w:rFonts w:ascii="Arial" w:hAnsi="Arial" w:cs="Arial"/>
          <w:sz w:val="24"/>
          <w:szCs w:val="24"/>
        </w:rPr>
      </w:pPr>
      <w:r w:rsidRPr="00AA23B3">
        <w:rPr>
          <w:rFonts w:ascii="Arial" w:hAnsi="Arial" w:cs="Arial"/>
          <w:sz w:val="24"/>
          <w:szCs w:val="24"/>
        </w:rPr>
        <w:t>For enquiries about this submission, please contact:</w:t>
      </w:r>
    </w:p>
    <w:tbl>
      <w:tblPr>
        <w:tblStyle w:val="TableGrid"/>
        <w:tblW w:w="0" w:type="auto"/>
        <w:tblLook w:val="04A0" w:firstRow="1" w:lastRow="0" w:firstColumn="1" w:lastColumn="0" w:noHBand="0" w:noVBand="1"/>
      </w:tblPr>
      <w:tblGrid>
        <w:gridCol w:w="4621"/>
        <w:gridCol w:w="4621"/>
      </w:tblGrid>
      <w:tr w:rsidR="00445B33" w:rsidRPr="00CB20EB" w:rsidTr="00445B33">
        <w:tc>
          <w:tcPr>
            <w:tcW w:w="4621" w:type="dxa"/>
          </w:tcPr>
          <w:p w:rsidR="00445B33" w:rsidRDefault="00445B33" w:rsidP="00C77FAB">
            <w:pPr>
              <w:rPr>
                <w:rFonts w:ascii="Arial" w:hAnsi="Arial" w:cs="Arial"/>
                <w:sz w:val="24"/>
                <w:szCs w:val="24"/>
              </w:rPr>
            </w:pPr>
            <w:r w:rsidRPr="00CB20EB">
              <w:rPr>
                <w:rFonts w:ascii="Arial" w:hAnsi="Arial" w:cs="Arial"/>
                <w:sz w:val="24"/>
                <w:szCs w:val="24"/>
              </w:rPr>
              <w:t>Nigel Johnson</w:t>
            </w:r>
          </w:p>
          <w:p w:rsidR="00CE6E49" w:rsidRDefault="00CE6E49" w:rsidP="00C77FAB">
            <w:pPr>
              <w:rPr>
                <w:rFonts w:ascii="Arial" w:hAnsi="Arial" w:cs="Arial"/>
                <w:sz w:val="24"/>
                <w:szCs w:val="24"/>
              </w:rPr>
            </w:pPr>
            <w:r>
              <w:rPr>
                <w:rFonts w:ascii="Arial" w:hAnsi="Arial" w:cs="Arial"/>
                <w:sz w:val="24"/>
                <w:szCs w:val="24"/>
              </w:rPr>
              <w:t>Head of Business Improvement</w:t>
            </w:r>
          </w:p>
          <w:p w:rsidR="00CE6E49" w:rsidRDefault="00CE6E49" w:rsidP="00C77FAB">
            <w:pPr>
              <w:rPr>
                <w:rFonts w:ascii="Arial" w:hAnsi="Arial" w:cs="Arial"/>
                <w:sz w:val="24"/>
                <w:szCs w:val="24"/>
              </w:rPr>
            </w:pPr>
            <w:r>
              <w:rPr>
                <w:rFonts w:ascii="Arial" w:hAnsi="Arial" w:cs="Arial"/>
                <w:sz w:val="24"/>
                <w:szCs w:val="24"/>
              </w:rPr>
              <w:t>Northern Housing Consortium</w:t>
            </w:r>
          </w:p>
          <w:p w:rsidR="00CE6E49" w:rsidRDefault="00CE6E49" w:rsidP="00C77FAB">
            <w:pPr>
              <w:rPr>
                <w:rFonts w:ascii="Arial" w:hAnsi="Arial" w:cs="Arial"/>
                <w:sz w:val="24"/>
                <w:szCs w:val="24"/>
              </w:rPr>
            </w:pPr>
            <w:r>
              <w:rPr>
                <w:rFonts w:ascii="Arial" w:hAnsi="Arial" w:cs="Arial"/>
                <w:sz w:val="24"/>
                <w:szCs w:val="24"/>
              </w:rPr>
              <w:t>Tel: 07843 356445</w:t>
            </w:r>
          </w:p>
          <w:p w:rsidR="00CE6E49" w:rsidRDefault="00CE6E49" w:rsidP="00C77FAB">
            <w:pPr>
              <w:rPr>
                <w:rFonts w:ascii="Arial" w:hAnsi="Arial" w:cs="Arial"/>
                <w:sz w:val="24"/>
                <w:szCs w:val="24"/>
              </w:rPr>
            </w:pPr>
            <w:r>
              <w:rPr>
                <w:rFonts w:ascii="Arial" w:hAnsi="Arial" w:cs="Arial"/>
                <w:sz w:val="24"/>
                <w:szCs w:val="24"/>
              </w:rPr>
              <w:t xml:space="preserve">Email: </w:t>
            </w:r>
            <w:hyperlink r:id="rId9" w:history="1">
              <w:r w:rsidRPr="00433E72">
                <w:rPr>
                  <w:rStyle w:val="Hyperlink"/>
                  <w:rFonts w:ascii="Arial" w:hAnsi="Arial" w:cs="Arial"/>
                  <w:sz w:val="24"/>
                  <w:szCs w:val="24"/>
                </w:rPr>
                <w:t>nigel.johnston@northern-consortium.org.uk</w:t>
              </w:r>
            </w:hyperlink>
          </w:p>
          <w:p w:rsidR="00CE6E49" w:rsidRPr="00CB20EB" w:rsidRDefault="00CE6E49" w:rsidP="00C77FAB">
            <w:pPr>
              <w:rPr>
                <w:rFonts w:ascii="Arial" w:hAnsi="Arial" w:cs="Arial"/>
                <w:sz w:val="24"/>
                <w:szCs w:val="24"/>
              </w:rPr>
            </w:pPr>
          </w:p>
        </w:tc>
        <w:tc>
          <w:tcPr>
            <w:tcW w:w="4621" w:type="dxa"/>
          </w:tcPr>
          <w:p w:rsidR="00445B33" w:rsidRPr="00CB20EB" w:rsidRDefault="00445B33" w:rsidP="00C77FAB">
            <w:pPr>
              <w:rPr>
                <w:rFonts w:ascii="Arial" w:hAnsi="Arial" w:cs="Arial"/>
                <w:sz w:val="24"/>
                <w:szCs w:val="24"/>
              </w:rPr>
            </w:pPr>
            <w:r w:rsidRPr="00CB20EB">
              <w:rPr>
                <w:rFonts w:ascii="Arial" w:hAnsi="Arial" w:cs="Arial"/>
                <w:sz w:val="24"/>
                <w:szCs w:val="24"/>
              </w:rPr>
              <w:t>Karen Brown</w:t>
            </w:r>
            <w:r w:rsidRPr="00CB20EB">
              <w:rPr>
                <w:rFonts w:ascii="Arial" w:hAnsi="Arial" w:cs="Arial"/>
                <w:sz w:val="24"/>
                <w:szCs w:val="24"/>
              </w:rPr>
              <w:br/>
              <w:t>Senior Policy Advisor</w:t>
            </w:r>
          </w:p>
          <w:p w:rsidR="00445B33" w:rsidRPr="00CB20EB" w:rsidRDefault="00445B33" w:rsidP="00C77FAB">
            <w:pPr>
              <w:rPr>
                <w:rFonts w:ascii="Arial" w:hAnsi="Arial" w:cs="Arial"/>
                <w:sz w:val="24"/>
                <w:szCs w:val="24"/>
              </w:rPr>
            </w:pPr>
            <w:r w:rsidRPr="00CB20EB">
              <w:rPr>
                <w:rFonts w:ascii="Arial" w:hAnsi="Arial" w:cs="Arial"/>
                <w:sz w:val="24"/>
                <w:szCs w:val="24"/>
              </w:rPr>
              <w:t>Northern Housing Consortium</w:t>
            </w:r>
          </w:p>
          <w:p w:rsidR="00445B33" w:rsidRPr="00CB20EB" w:rsidRDefault="00445B33" w:rsidP="00C77FAB">
            <w:pPr>
              <w:rPr>
                <w:rFonts w:ascii="Arial" w:hAnsi="Arial" w:cs="Arial"/>
                <w:sz w:val="24"/>
                <w:szCs w:val="24"/>
              </w:rPr>
            </w:pPr>
            <w:r w:rsidRPr="00CB20EB">
              <w:rPr>
                <w:rFonts w:ascii="Arial" w:hAnsi="Arial" w:cs="Arial"/>
                <w:sz w:val="24"/>
                <w:szCs w:val="24"/>
              </w:rPr>
              <w:t>Tel: 0191 566 1021</w:t>
            </w:r>
          </w:p>
          <w:p w:rsidR="00445B33" w:rsidRPr="00CB20EB" w:rsidRDefault="00445B33" w:rsidP="00C77FAB">
            <w:pPr>
              <w:rPr>
                <w:rFonts w:ascii="Arial" w:hAnsi="Arial" w:cs="Arial"/>
                <w:sz w:val="24"/>
                <w:szCs w:val="24"/>
              </w:rPr>
            </w:pPr>
            <w:r w:rsidRPr="00CB20EB">
              <w:rPr>
                <w:rFonts w:ascii="Arial" w:hAnsi="Arial" w:cs="Arial"/>
                <w:sz w:val="24"/>
                <w:szCs w:val="24"/>
              </w:rPr>
              <w:t xml:space="preserve">Email: </w:t>
            </w:r>
            <w:hyperlink r:id="rId10" w:history="1">
              <w:r w:rsidRPr="00CB20EB">
                <w:rPr>
                  <w:rStyle w:val="Hyperlink"/>
                  <w:rFonts w:ascii="Arial" w:hAnsi="Arial" w:cs="Arial"/>
                  <w:sz w:val="24"/>
                  <w:szCs w:val="24"/>
                </w:rPr>
                <w:t>Karen.brown@northern-consortium.org.uk</w:t>
              </w:r>
            </w:hyperlink>
          </w:p>
          <w:p w:rsidR="00445B33" w:rsidRPr="00CB20EB" w:rsidRDefault="00445B33" w:rsidP="00C77FAB">
            <w:pPr>
              <w:rPr>
                <w:rFonts w:ascii="Arial" w:hAnsi="Arial" w:cs="Arial"/>
                <w:b/>
                <w:sz w:val="24"/>
                <w:szCs w:val="24"/>
              </w:rPr>
            </w:pPr>
          </w:p>
        </w:tc>
      </w:tr>
    </w:tbl>
    <w:p w:rsidR="00445B33" w:rsidRPr="00CB20EB" w:rsidRDefault="00445B33" w:rsidP="00AA23B3">
      <w:pPr>
        <w:spacing w:after="0" w:line="240" w:lineRule="auto"/>
        <w:ind w:left="360"/>
        <w:rPr>
          <w:rFonts w:ascii="Arial" w:hAnsi="Arial" w:cs="Arial"/>
          <w:b/>
          <w:sz w:val="24"/>
          <w:szCs w:val="24"/>
          <w:u w:val="single"/>
        </w:rPr>
      </w:pPr>
    </w:p>
    <w:sectPr w:rsidR="00445B33" w:rsidRPr="00CB20EB" w:rsidSect="007671D6">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D6" w:rsidRDefault="007671D6" w:rsidP="000C7AE0">
      <w:pPr>
        <w:spacing w:after="0" w:line="240" w:lineRule="auto"/>
      </w:pPr>
      <w:r>
        <w:separator/>
      </w:r>
    </w:p>
  </w:endnote>
  <w:endnote w:type="continuationSeparator" w:id="0">
    <w:p w:rsidR="007671D6" w:rsidRDefault="007671D6" w:rsidP="000C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D6" w:rsidRDefault="007671D6" w:rsidP="000C7AE0">
      <w:pPr>
        <w:spacing w:after="0" w:line="240" w:lineRule="auto"/>
      </w:pPr>
      <w:r>
        <w:separator/>
      </w:r>
    </w:p>
  </w:footnote>
  <w:footnote w:type="continuationSeparator" w:id="0">
    <w:p w:rsidR="007671D6" w:rsidRDefault="007671D6" w:rsidP="000C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D6" w:rsidRDefault="007671D6" w:rsidP="00874DC2">
    <w:pPr>
      <w:pStyle w:val="Header"/>
      <w:ind w:firstLine="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303"/>
    <w:multiLevelType w:val="hybridMultilevel"/>
    <w:tmpl w:val="8A1E1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93711"/>
    <w:multiLevelType w:val="hybridMultilevel"/>
    <w:tmpl w:val="A00A1718"/>
    <w:lvl w:ilvl="0" w:tplc="7A5444F8">
      <w:start w:val="1"/>
      <w:numFmt w:val="bullet"/>
      <w:lvlText w:val="•"/>
      <w:lvlJc w:val="left"/>
      <w:pPr>
        <w:tabs>
          <w:tab w:val="num" w:pos="720"/>
        </w:tabs>
        <w:ind w:left="720" w:hanging="360"/>
      </w:pPr>
      <w:rPr>
        <w:rFonts w:ascii="Arial" w:hAnsi="Arial" w:hint="default"/>
      </w:rPr>
    </w:lvl>
    <w:lvl w:ilvl="1" w:tplc="56CEB8D8">
      <w:start w:val="1"/>
      <w:numFmt w:val="bullet"/>
      <w:lvlText w:val="•"/>
      <w:lvlJc w:val="left"/>
      <w:pPr>
        <w:tabs>
          <w:tab w:val="num" w:pos="1440"/>
        </w:tabs>
        <w:ind w:left="1440" w:hanging="360"/>
      </w:pPr>
      <w:rPr>
        <w:rFonts w:ascii="Arial" w:hAnsi="Arial" w:hint="default"/>
      </w:rPr>
    </w:lvl>
    <w:lvl w:ilvl="2" w:tplc="A4E6A848" w:tentative="1">
      <w:start w:val="1"/>
      <w:numFmt w:val="bullet"/>
      <w:lvlText w:val="•"/>
      <w:lvlJc w:val="left"/>
      <w:pPr>
        <w:tabs>
          <w:tab w:val="num" w:pos="2160"/>
        </w:tabs>
        <w:ind w:left="2160" w:hanging="360"/>
      </w:pPr>
      <w:rPr>
        <w:rFonts w:ascii="Arial" w:hAnsi="Arial" w:hint="default"/>
      </w:rPr>
    </w:lvl>
    <w:lvl w:ilvl="3" w:tplc="4B9C2630" w:tentative="1">
      <w:start w:val="1"/>
      <w:numFmt w:val="bullet"/>
      <w:lvlText w:val="•"/>
      <w:lvlJc w:val="left"/>
      <w:pPr>
        <w:tabs>
          <w:tab w:val="num" w:pos="2880"/>
        </w:tabs>
        <w:ind w:left="2880" w:hanging="360"/>
      </w:pPr>
      <w:rPr>
        <w:rFonts w:ascii="Arial" w:hAnsi="Arial" w:hint="default"/>
      </w:rPr>
    </w:lvl>
    <w:lvl w:ilvl="4" w:tplc="6EF07210" w:tentative="1">
      <w:start w:val="1"/>
      <w:numFmt w:val="bullet"/>
      <w:lvlText w:val="•"/>
      <w:lvlJc w:val="left"/>
      <w:pPr>
        <w:tabs>
          <w:tab w:val="num" w:pos="3600"/>
        </w:tabs>
        <w:ind w:left="3600" w:hanging="360"/>
      </w:pPr>
      <w:rPr>
        <w:rFonts w:ascii="Arial" w:hAnsi="Arial" w:hint="default"/>
      </w:rPr>
    </w:lvl>
    <w:lvl w:ilvl="5" w:tplc="28AE0A76" w:tentative="1">
      <w:start w:val="1"/>
      <w:numFmt w:val="bullet"/>
      <w:lvlText w:val="•"/>
      <w:lvlJc w:val="left"/>
      <w:pPr>
        <w:tabs>
          <w:tab w:val="num" w:pos="4320"/>
        </w:tabs>
        <w:ind w:left="4320" w:hanging="360"/>
      </w:pPr>
      <w:rPr>
        <w:rFonts w:ascii="Arial" w:hAnsi="Arial" w:hint="default"/>
      </w:rPr>
    </w:lvl>
    <w:lvl w:ilvl="6" w:tplc="CBDC4F66" w:tentative="1">
      <w:start w:val="1"/>
      <w:numFmt w:val="bullet"/>
      <w:lvlText w:val="•"/>
      <w:lvlJc w:val="left"/>
      <w:pPr>
        <w:tabs>
          <w:tab w:val="num" w:pos="5040"/>
        </w:tabs>
        <w:ind w:left="5040" w:hanging="360"/>
      </w:pPr>
      <w:rPr>
        <w:rFonts w:ascii="Arial" w:hAnsi="Arial" w:hint="default"/>
      </w:rPr>
    </w:lvl>
    <w:lvl w:ilvl="7" w:tplc="5E204F4A" w:tentative="1">
      <w:start w:val="1"/>
      <w:numFmt w:val="bullet"/>
      <w:lvlText w:val="•"/>
      <w:lvlJc w:val="left"/>
      <w:pPr>
        <w:tabs>
          <w:tab w:val="num" w:pos="5760"/>
        </w:tabs>
        <w:ind w:left="5760" w:hanging="360"/>
      </w:pPr>
      <w:rPr>
        <w:rFonts w:ascii="Arial" w:hAnsi="Arial" w:hint="default"/>
      </w:rPr>
    </w:lvl>
    <w:lvl w:ilvl="8" w:tplc="2BCEDF08" w:tentative="1">
      <w:start w:val="1"/>
      <w:numFmt w:val="bullet"/>
      <w:lvlText w:val="•"/>
      <w:lvlJc w:val="left"/>
      <w:pPr>
        <w:tabs>
          <w:tab w:val="num" w:pos="6480"/>
        </w:tabs>
        <w:ind w:left="6480" w:hanging="360"/>
      </w:pPr>
      <w:rPr>
        <w:rFonts w:ascii="Arial" w:hAnsi="Arial" w:hint="default"/>
      </w:rPr>
    </w:lvl>
  </w:abstractNum>
  <w:abstractNum w:abstractNumId="2">
    <w:nsid w:val="42F60FCC"/>
    <w:multiLevelType w:val="hybridMultilevel"/>
    <w:tmpl w:val="8C3438AA"/>
    <w:lvl w:ilvl="0" w:tplc="5AF2855C">
      <w:start w:val="1"/>
      <w:numFmt w:val="bullet"/>
      <w:lvlText w:val="•"/>
      <w:lvlJc w:val="left"/>
      <w:pPr>
        <w:tabs>
          <w:tab w:val="num" w:pos="720"/>
        </w:tabs>
        <w:ind w:left="720" w:hanging="360"/>
      </w:pPr>
      <w:rPr>
        <w:rFonts w:ascii="Arial" w:hAnsi="Arial" w:hint="default"/>
      </w:rPr>
    </w:lvl>
    <w:lvl w:ilvl="1" w:tplc="C4F46EAC" w:tentative="1">
      <w:start w:val="1"/>
      <w:numFmt w:val="bullet"/>
      <w:lvlText w:val="•"/>
      <w:lvlJc w:val="left"/>
      <w:pPr>
        <w:tabs>
          <w:tab w:val="num" w:pos="1440"/>
        </w:tabs>
        <w:ind w:left="1440" w:hanging="360"/>
      </w:pPr>
      <w:rPr>
        <w:rFonts w:ascii="Arial" w:hAnsi="Arial" w:hint="default"/>
      </w:rPr>
    </w:lvl>
    <w:lvl w:ilvl="2" w:tplc="48A40F06" w:tentative="1">
      <w:start w:val="1"/>
      <w:numFmt w:val="bullet"/>
      <w:lvlText w:val="•"/>
      <w:lvlJc w:val="left"/>
      <w:pPr>
        <w:tabs>
          <w:tab w:val="num" w:pos="2160"/>
        </w:tabs>
        <w:ind w:left="2160" w:hanging="360"/>
      </w:pPr>
      <w:rPr>
        <w:rFonts w:ascii="Arial" w:hAnsi="Arial" w:hint="default"/>
      </w:rPr>
    </w:lvl>
    <w:lvl w:ilvl="3" w:tplc="B4D03360" w:tentative="1">
      <w:start w:val="1"/>
      <w:numFmt w:val="bullet"/>
      <w:lvlText w:val="•"/>
      <w:lvlJc w:val="left"/>
      <w:pPr>
        <w:tabs>
          <w:tab w:val="num" w:pos="2880"/>
        </w:tabs>
        <w:ind w:left="2880" w:hanging="360"/>
      </w:pPr>
      <w:rPr>
        <w:rFonts w:ascii="Arial" w:hAnsi="Arial" w:hint="default"/>
      </w:rPr>
    </w:lvl>
    <w:lvl w:ilvl="4" w:tplc="4D1C969C" w:tentative="1">
      <w:start w:val="1"/>
      <w:numFmt w:val="bullet"/>
      <w:lvlText w:val="•"/>
      <w:lvlJc w:val="left"/>
      <w:pPr>
        <w:tabs>
          <w:tab w:val="num" w:pos="3600"/>
        </w:tabs>
        <w:ind w:left="3600" w:hanging="360"/>
      </w:pPr>
      <w:rPr>
        <w:rFonts w:ascii="Arial" w:hAnsi="Arial" w:hint="default"/>
      </w:rPr>
    </w:lvl>
    <w:lvl w:ilvl="5" w:tplc="71D4604C" w:tentative="1">
      <w:start w:val="1"/>
      <w:numFmt w:val="bullet"/>
      <w:lvlText w:val="•"/>
      <w:lvlJc w:val="left"/>
      <w:pPr>
        <w:tabs>
          <w:tab w:val="num" w:pos="4320"/>
        </w:tabs>
        <w:ind w:left="4320" w:hanging="360"/>
      </w:pPr>
      <w:rPr>
        <w:rFonts w:ascii="Arial" w:hAnsi="Arial" w:hint="default"/>
      </w:rPr>
    </w:lvl>
    <w:lvl w:ilvl="6" w:tplc="C096E08A" w:tentative="1">
      <w:start w:val="1"/>
      <w:numFmt w:val="bullet"/>
      <w:lvlText w:val="•"/>
      <w:lvlJc w:val="left"/>
      <w:pPr>
        <w:tabs>
          <w:tab w:val="num" w:pos="5040"/>
        </w:tabs>
        <w:ind w:left="5040" w:hanging="360"/>
      </w:pPr>
      <w:rPr>
        <w:rFonts w:ascii="Arial" w:hAnsi="Arial" w:hint="default"/>
      </w:rPr>
    </w:lvl>
    <w:lvl w:ilvl="7" w:tplc="A35C9182" w:tentative="1">
      <w:start w:val="1"/>
      <w:numFmt w:val="bullet"/>
      <w:lvlText w:val="•"/>
      <w:lvlJc w:val="left"/>
      <w:pPr>
        <w:tabs>
          <w:tab w:val="num" w:pos="5760"/>
        </w:tabs>
        <w:ind w:left="5760" w:hanging="360"/>
      </w:pPr>
      <w:rPr>
        <w:rFonts w:ascii="Arial" w:hAnsi="Arial" w:hint="default"/>
      </w:rPr>
    </w:lvl>
    <w:lvl w:ilvl="8" w:tplc="A8F2CE2C" w:tentative="1">
      <w:start w:val="1"/>
      <w:numFmt w:val="bullet"/>
      <w:lvlText w:val="•"/>
      <w:lvlJc w:val="left"/>
      <w:pPr>
        <w:tabs>
          <w:tab w:val="num" w:pos="6480"/>
        </w:tabs>
        <w:ind w:left="6480" w:hanging="360"/>
      </w:pPr>
      <w:rPr>
        <w:rFonts w:ascii="Arial" w:hAnsi="Arial" w:hint="default"/>
      </w:rPr>
    </w:lvl>
  </w:abstractNum>
  <w:abstractNum w:abstractNumId="3">
    <w:nsid w:val="43D20F87"/>
    <w:multiLevelType w:val="hybridMultilevel"/>
    <w:tmpl w:val="D2BA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8C"/>
    <w:rsid w:val="000215F6"/>
    <w:rsid w:val="000C7AE0"/>
    <w:rsid w:val="0013724E"/>
    <w:rsid w:val="001A0776"/>
    <w:rsid w:val="002163D0"/>
    <w:rsid w:val="00286015"/>
    <w:rsid w:val="002B19F9"/>
    <w:rsid w:val="00347021"/>
    <w:rsid w:val="003A3FCE"/>
    <w:rsid w:val="003D00F4"/>
    <w:rsid w:val="0043590B"/>
    <w:rsid w:val="00445B33"/>
    <w:rsid w:val="00502743"/>
    <w:rsid w:val="00506B7E"/>
    <w:rsid w:val="0051078F"/>
    <w:rsid w:val="00526BB1"/>
    <w:rsid w:val="00533F0D"/>
    <w:rsid w:val="0057358E"/>
    <w:rsid w:val="006C4EE4"/>
    <w:rsid w:val="006F5F8C"/>
    <w:rsid w:val="007671D6"/>
    <w:rsid w:val="0078630C"/>
    <w:rsid w:val="007F73C2"/>
    <w:rsid w:val="00804480"/>
    <w:rsid w:val="00820E31"/>
    <w:rsid w:val="00874DC2"/>
    <w:rsid w:val="00933590"/>
    <w:rsid w:val="009660EF"/>
    <w:rsid w:val="00A0170D"/>
    <w:rsid w:val="00AA23B3"/>
    <w:rsid w:val="00BC2E1E"/>
    <w:rsid w:val="00C31B9D"/>
    <w:rsid w:val="00C77FAB"/>
    <w:rsid w:val="00C802E9"/>
    <w:rsid w:val="00CB20EB"/>
    <w:rsid w:val="00CE6E49"/>
    <w:rsid w:val="00EA6CA0"/>
    <w:rsid w:val="00EB3731"/>
    <w:rsid w:val="00F94D4A"/>
    <w:rsid w:val="00FA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E9"/>
    <w:pPr>
      <w:ind w:left="720"/>
      <w:contextualSpacing/>
    </w:pPr>
  </w:style>
  <w:style w:type="character" w:styleId="Hyperlink">
    <w:name w:val="Hyperlink"/>
    <w:basedOn w:val="DefaultParagraphFont"/>
    <w:uiPriority w:val="99"/>
    <w:unhideWhenUsed/>
    <w:rsid w:val="000C7AE0"/>
    <w:rPr>
      <w:color w:val="0000FF" w:themeColor="hyperlink"/>
      <w:u w:val="single"/>
    </w:rPr>
  </w:style>
  <w:style w:type="paragraph" w:styleId="Header">
    <w:name w:val="header"/>
    <w:basedOn w:val="Normal"/>
    <w:link w:val="HeaderChar"/>
    <w:uiPriority w:val="99"/>
    <w:unhideWhenUsed/>
    <w:rsid w:val="000C7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E0"/>
  </w:style>
  <w:style w:type="paragraph" w:styleId="Footer">
    <w:name w:val="footer"/>
    <w:basedOn w:val="Normal"/>
    <w:link w:val="FooterChar"/>
    <w:uiPriority w:val="99"/>
    <w:unhideWhenUsed/>
    <w:rsid w:val="000C7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AE0"/>
  </w:style>
  <w:style w:type="paragraph" w:styleId="BalloonText">
    <w:name w:val="Balloon Text"/>
    <w:basedOn w:val="Normal"/>
    <w:link w:val="BalloonTextChar"/>
    <w:uiPriority w:val="99"/>
    <w:semiHidden/>
    <w:unhideWhenUsed/>
    <w:rsid w:val="000C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0"/>
    <w:rPr>
      <w:rFonts w:ascii="Tahoma" w:hAnsi="Tahoma" w:cs="Tahoma"/>
      <w:sz w:val="16"/>
      <w:szCs w:val="16"/>
    </w:rPr>
  </w:style>
  <w:style w:type="table" w:styleId="TableGrid">
    <w:name w:val="Table Grid"/>
    <w:basedOn w:val="TableNormal"/>
    <w:uiPriority w:val="59"/>
    <w:rsid w:val="004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E9"/>
    <w:pPr>
      <w:ind w:left="720"/>
      <w:contextualSpacing/>
    </w:pPr>
  </w:style>
  <w:style w:type="character" w:styleId="Hyperlink">
    <w:name w:val="Hyperlink"/>
    <w:basedOn w:val="DefaultParagraphFont"/>
    <w:uiPriority w:val="99"/>
    <w:unhideWhenUsed/>
    <w:rsid w:val="000C7AE0"/>
    <w:rPr>
      <w:color w:val="0000FF" w:themeColor="hyperlink"/>
      <w:u w:val="single"/>
    </w:rPr>
  </w:style>
  <w:style w:type="paragraph" w:styleId="Header">
    <w:name w:val="header"/>
    <w:basedOn w:val="Normal"/>
    <w:link w:val="HeaderChar"/>
    <w:uiPriority w:val="99"/>
    <w:unhideWhenUsed/>
    <w:rsid w:val="000C7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E0"/>
  </w:style>
  <w:style w:type="paragraph" w:styleId="Footer">
    <w:name w:val="footer"/>
    <w:basedOn w:val="Normal"/>
    <w:link w:val="FooterChar"/>
    <w:uiPriority w:val="99"/>
    <w:unhideWhenUsed/>
    <w:rsid w:val="000C7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AE0"/>
  </w:style>
  <w:style w:type="paragraph" w:styleId="BalloonText">
    <w:name w:val="Balloon Text"/>
    <w:basedOn w:val="Normal"/>
    <w:link w:val="BalloonTextChar"/>
    <w:uiPriority w:val="99"/>
    <w:semiHidden/>
    <w:unhideWhenUsed/>
    <w:rsid w:val="000C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0"/>
    <w:rPr>
      <w:rFonts w:ascii="Tahoma" w:hAnsi="Tahoma" w:cs="Tahoma"/>
      <w:sz w:val="16"/>
      <w:szCs w:val="16"/>
    </w:rPr>
  </w:style>
  <w:style w:type="table" w:styleId="TableGrid">
    <w:name w:val="Table Grid"/>
    <w:basedOn w:val="TableNormal"/>
    <w:uiPriority w:val="59"/>
    <w:rsid w:val="004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21666">
      <w:bodyDiv w:val="1"/>
      <w:marLeft w:val="0"/>
      <w:marRight w:val="0"/>
      <w:marTop w:val="0"/>
      <w:marBottom w:val="0"/>
      <w:divBdr>
        <w:top w:val="none" w:sz="0" w:space="0" w:color="auto"/>
        <w:left w:val="none" w:sz="0" w:space="0" w:color="auto"/>
        <w:bottom w:val="none" w:sz="0" w:space="0" w:color="auto"/>
        <w:right w:val="none" w:sz="0" w:space="0" w:color="auto"/>
      </w:divBdr>
      <w:divsChild>
        <w:div w:id="1217745732">
          <w:marLeft w:val="547"/>
          <w:marRight w:val="0"/>
          <w:marTop w:val="154"/>
          <w:marBottom w:val="0"/>
          <w:divBdr>
            <w:top w:val="none" w:sz="0" w:space="0" w:color="auto"/>
            <w:left w:val="none" w:sz="0" w:space="0" w:color="auto"/>
            <w:bottom w:val="none" w:sz="0" w:space="0" w:color="auto"/>
            <w:right w:val="none" w:sz="0" w:space="0" w:color="auto"/>
          </w:divBdr>
        </w:div>
        <w:div w:id="96218679">
          <w:marLeft w:val="547"/>
          <w:marRight w:val="0"/>
          <w:marTop w:val="154"/>
          <w:marBottom w:val="0"/>
          <w:divBdr>
            <w:top w:val="none" w:sz="0" w:space="0" w:color="auto"/>
            <w:left w:val="none" w:sz="0" w:space="0" w:color="auto"/>
            <w:bottom w:val="none" w:sz="0" w:space="0" w:color="auto"/>
            <w:right w:val="none" w:sz="0" w:space="0" w:color="auto"/>
          </w:divBdr>
        </w:div>
        <w:div w:id="1534075337">
          <w:marLeft w:val="547"/>
          <w:marRight w:val="0"/>
          <w:marTop w:val="154"/>
          <w:marBottom w:val="0"/>
          <w:divBdr>
            <w:top w:val="none" w:sz="0" w:space="0" w:color="auto"/>
            <w:left w:val="none" w:sz="0" w:space="0" w:color="auto"/>
            <w:bottom w:val="none" w:sz="0" w:space="0" w:color="auto"/>
            <w:right w:val="none" w:sz="0" w:space="0" w:color="auto"/>
          </w:divBdr>
        </w:div>
        <w:div w:id="1862473535">
          <w:marLeft w:val="547"/>
          <w:marRight w:val="0"/>
          <w:marTop w:val="154"/>
          <w:marBottom w:val="0"/>
          <w:divBdr>
            <w:top w:val="none" w:sz="0" w:space="0" w:color="auto"/>
            <w:left w:val="none" w:sz="0" w:space="0" w:color="auto"/>
            <w:bottom w:val="none" w:sz="0" w:space="0" w:color="auto"/>
            <w:right w:val="none" w:sz="0" w:space="0" w:color="auto"/>
          </w:divBdr>
        </w:div>
        <w:div w:id="515928677">
          <w:marLeft w:val="547"/>
          <w:marRight w:val="0"/>
          <w:marTop w:val="154"/>
          <w:marBottom w:val="0"/>
          <w:divBdr>
            <w:top w:val="none" w:sz="0" w:space="0" w:color="auto"/>
            <w:left w:val="none" w:sz="0" w:space="0" w:color="auto"/>
            <w:bottom w:val="none" w:sz="0" w:space="0" w:color="auto"/>
            <w:right w:val="none" w:sz="0" w:space="0" w:color="auto"/>
          </w:divBdr>
        </w:div>
      </w:divsChild>
    </w:div>
    <w:div w:id="2026708691">
      <w:bodyDiv w:val="1"/>
      <w:marLeft w:val="0"/>
      <w:marRight w:val="0"/>
      <w:marTop w:val="0"/>
      <w:marBottom w:val="0"/>
      <w:divBdr>
        <w:top w:val="none" w:sz="0" w:space="0" w:color="auto"/>
        <w:left w:val="none" w:sz="0" w:space="0" w:color="auto"/>
        <w:bottom w:val="none" w:sz="0" w:space="0" w:color="auto"/>
        <w:right w:val="none" w:sz="0" w:space="0" w:color="auto"/>
      </w:divBdr>
      <w:divsChild>
        <w:div w:id="2070300474">
          <w:marLeft w:val="547"/>
          <w:marRight w:val="0"/>
          <w:marTop w:val="144"/>
          <w:marBottom w:val="0"/>
          <w:divBdr>
            <w:top w:val="none" w:sz="0" w:space="0" w:color="auto"/>
            <w:left w:val="none" w:sz="0" w:space="0" w:color="auto"/>
            <w:bottom w:val="none" w:sz="0" w:space="0" w:color="auto"/>
            <w:right w:val="none" w:sz="0" w:space="0" w:color="auto"/>
          </w:divBdr>
        </w:div>
        <w:div w:id="82663409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ren.brown@northern-consortium.org.uk" TargetMode="External"/><Relationship Id="rId4" Type="http://schemas.openxmlformats.org/officeDocument/2006/relationships/settings" Target="settings.xml"/><Relationship Id="rId9" Type="http://schemas.openxmlformats.org/officeDocument/2006/relationships/hyperlink" Target="mailto:nigel.johnston@northern-consorti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11290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Johnston</dc:creator>
  <cp:lastModifiedBy>David Hetherington</cp:lastModifiedBy>
  <cp:revision>2</cp:revision>
  <dcterms:created xsi:type="dcterms:W3CDTF">2017-12-21T08:56:00Z</dcterms:created>
  <dcterms:modified xsi:type="dcterms:W3CDTF">2017-12-21T08:56:00Z</dcterms:modified>
</cp:coreProperties>
</file>